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6B" w:rsidRDefault="00B06D6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06D6B" w:rsidRDefault="00B06D6B">
      <w:pPr>
        <w:pStyle w:val="ConsPlusNormal"/>
        <w:jc w:val="both"/>
        <w:outlineLvl w:val="0"/>
      </w:pPr>
    </w:p>
    <w:p w:rsidR="00B06D6B" w:rsidRDefault="00B06D6B">
      <w:pPr>
        <w:pStyle w:val="ConsPlusTitle"/>
        <w:jc w:val="center"/>
        <w:outlineLvl w:val="0"/>
      </w:pPr>
      <w:r>
        <w:t>АДМИНИСТРАЦИЯ ГОРОДА ТОБОЛЬСКА</w:t>
      </w:r>
    </w:p>
    <w:p w:rsidR="00B06D6B" w:rsidRDefault="00B06D6B">
      <w:pPr>
        <w:pStyle w:val="ConsPlusTitle"/>
        <w:jc w:val="center"/>
      </w:pPr>
    </w:p>
    <w:p w:rsidR="00B06D6B" w:rsidRDefault="00B06D6B">
      <w:pPr>
        <w:pStyle w:val="ConsPlusTitle"/>
        <w:jc w:val="center"/>
      </w:pPr>
      <w:r>
        <w:t>РАСПОРЯЖЕНИЕ</w:t>
      </w:r>
    </w:p>
    <w:p w:rsidR="00B06D6B" w:rsidRDefault="00B06D6B">
      <w:pPr>
        <w:pStyle w:val="ConsPlusTitle"/>
        <w:jc w:val="center"/>
      </w:pPr>
      <w:r>
        <w:t>от 30 марта 2020 г. N 43-рк</w:t>
      </w:r>
    </w:p>
    <w:p w:rsidR="00B06D6B" w:rsidRDefault="00B06D6B">
      <w:pPr>
        <w:pStyle w:val="ConsPlusTitle"/>
        <w:ind w:firstLine="540"/>
        <w:jc w:val="both"/>
      </w:pPr>
    </w:p>
    <w:p w:rsidR="00B06D6B" w:rsidRDefault="00B06D6B">
      <w:pPr>
        <w:pStyle w:val="ConsPlusTitle"/>
        <w:jc w:val="center"/>
      </w:pPr>
      <w:r>
        <w:t>ОБ УТВЕРЖДЕНИИ МУНИЦИПАЛЬНОЙ ПРОГРАММЫ</w:t>
      </w:r>
    </w:p>
    <w:p w:rsidR="00B06D6B" w:rsidRDefault="00B06D6B">
      <w:pPr>
        <w:pStyle w:val="ConsPlusTitle"/>
        <w:jc w:val="center"/>
      </w:pPr>
      <w:r>
        <w:t>"РАЗВИТИЕ ОБЩЕГО ОБРАЗОВАНИЯ В ГОРОДЕ ТОБОЛЬСКЕ"</w:t>
      </w:r>
    </w:p>
    <w:p w:rsidR="00B06D6B" w:rsidRDefault="00B06D6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06D6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07.12.2020 </w:t>
            </w:r>
            <w:hyperlink r:id="rId5">
              <w:r>
                <w:rPr>
                  <w:color w:val="0000FF"/>
                </w:rPr>
                <w:t>N 142-рк</w:t>
              </w:r>
            </w:hyperlink>
            <w:r>
              <w:rPr>
                <w:color w:val="392C69"/>
              </w:rPr>
              <w:t>,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09.03.2021 </w:t>
            </w:r>
            <w:hyperlink r:id="rId6">
              <w:r>
                <w:rPr>
                  <w:color w:val="0000FF"/>
                </w:rPr>
                <w:t>N 18-рк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7">
              <w:r>
                <w:rPr>
                  <w:color w:val="0000FF"/>
                </w:rPr>
                <w:t>N 78-рк</w:t>
              </w:r>
            </w:hyperlink>
            <w:r>
              <w:rPr>
                <w:color w:val="392C69"/>
              </w:rPr>
              <w:t xml:space="preserve">, от 20.12.2021 </w:t>
            </w:r>
            <w:hyperlink r:id="rId8">
              <w:r>
                <w:rPr>
                  <w:color w:val="0000FF"/>
                </w:rPr>
                <w:t>N 130-рк</w:t>
              </w:r>
            </w:hyperlink>
            <w:r>
              <w:rPr>
                <w:color w:val="392C69"/>
              </w:rPr>
              <w:t>,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9">
              <w:r>
                <w:rPr>
                  <w:color w:val="0000FF"/>
                </w:rPr>
                <w:t>N 9-рк</w:t>
              </w:r>
            </w:hyperlink>
            <w:r>
              <w:rPr>
                <w:color w:val="392C69"/>
              </w:rPr>
              <w:t xml:space="preserve">, от 30.05.2022 </w:t>
            </w:r>
            <w:hyperlink r:id="rId10">
              <w:r>
                <w:rPr>
                  <w:color w:val="0000FF"/>
                </w:rPr>
                <w:t>N 51-рк</w:t>
              </w:r>
            </w:hyperlink>
            <w:r>
              <w:rPr>
                <w:color w:val="392C69"/>
              </w:rPr>
              <w:t xml:space="preserve">, от 31.10.2022 </w:t>
            </w:r>
            <w:hyperlink r:id="rId11">
              <w:r>
                <w:rPr>
                  <w:color w:val="0000FF"/>
                </w:rPr>
                <w:t>N 88-рк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</w:tr>
    </w:tbl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 xml:space="preserve">В соответствии с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3">
        <w:r>
          <w:rPr>
            <w:color w:val="0000FF"/>
          </w:rPr>
          <w:t>статьями 40</w:t>
        </w:r>
      </w:hyperlink>
      <w:r>
        <w:t xml:space="preserve">, </w:t>
      </w:r>
      <w:hyperlink r:id="rId14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42">
        <w:r>
          <w:rPr>
            <w:color w:val="0000FF"/>
          </w:rPr>
          <w:t>программу</w:t>
        </w:r>
      </w:hyperlink>
      <w:r>
        <w:t xml:space="preserve"> "Развитие общего образования в городе Тобольске" согласно приложению к настоящему распоряжению.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10.07.2018 N 13-рк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30.08.2018 N 17-рк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18.10.2018 N 21-рк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14.11.2018 N 28-рк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28.12.2018 N 37-рк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07.02.2019 N 04-рк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06.03.2019 N 07-рк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03.06.2019 N 14-рк "О внесении изменений в распоряжение Администрации города Тобольска от 22.03.2018 N 05-рк "Об утверждении муниципальной программы "Развитие общего образования города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lastRenderedPageBreak/>
        <w:t>распоряжение Администрации города Тобольска от 27.02.2020 N 12-рк "О внесении изменений в распоряжение Администрации города Тобольска от 22.03.2018 N 05-рк;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23.03.2020 N 27-рк "О внесении изменений в муниципальную программу "Развитие общего образования города Тобольска", утвержденную распоряжением Администрации города Тобольска от 29.12.2017 N 29-рк".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Администрации города Тобольска (www.admtobolsk.ru) и на официальном сайте муниципального образования город Тобольск на портале органов государственной власти Тюменской области (www.tobolsk.admtyumen.ru).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right"/>
      </w:pPr>
      <w:r>
        <w:t>Глава города</w:t>
      </w:r>
    </w:p>
    <w:p w:rsidR="00B06D6B" w:rsidRDefault="00B06D6B">
      <w:pPr>
        <w:pStyle w:val="ConsPlusNormal"/>
        <w:jc w:val="right"/>
      </w:pPr>
      <w:r>
        <w:t>М.В.АФАНАСЬЕВ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right"/>
        <w:outlineLvl w:val="0"/>
      </w:pPr>
      <w:r>
        <w:t>Приложение</w:t>
      </w:r>
    </w:p>
    <w:p w:rsidR="00B06D6B" w:rsidRDefault="00B06D6B">
      <w:pPr>
        <w:pStyle w:val="ConsPlusNormal"/>
        <w:jc w:val="right"/>
      </w:pPr>
      <w:r>
        <w:t>к распоряжению</w:t>
      </w:r>
    </w:p>
    <w:p w:rsidR="00B06D6B" w:rsidRDefault="00B06D6B">
      <w:pPr>
        <w:pStyle w:val="ConsPlusNormal"/>
        <w:jc w:val="right"/>
      </w:pPr>
      <w:r>
        <w:t>Администрации города Тобольска</w:t>
      </w:r>
    </w:p>
    <w:p w:rsidR="00B06D6B" w:rsidRDefault="00B06D6B">
      <w:pPr>
        <w:pStyle w:val="ConsPlusNormal"/>
        <w:jc w:val="right"/>
      </w:pPr>
      <w:r>
        <w:t>от 30 марта 2020 г. N 43-рк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B06D6B" w:rsidRDefault="00B06D6B">
      <w:pPr>
        <w:pStyle w:val="ConsPlusTitle"/>
        <w:jc w:val="center"/>
      </w:pPr>
      <w:r>
        <w:t>"РАЗВИТИЕ ОБЩЕГО ОБРАЗОВАНИЯ В ГОРОДЕ ТОБОЛЬСКЕ"</w:t>
      </w:r>
    </w:p>
    <w:p w:rsidR="00B06D6B" w:rsidRDefault="00B06D6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06D6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07.12.2020 </w:t>
            </w:r>
            <w:hyperlink r:id="rId15">
              <w:r>
                <w:rPr>
                  <w:color w:val="0000FF"/>
                </w:rPr>
                <w:t>N 142-рк</w:t>
              </w:r>
            </w:hyperlink>
            <w:r>
              <w:rPr>
                <w:color w:val="392C69"/>
              </w:rPr>
              <w:t>,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09.03.2021 </w:t>
            </w:r>
            <w:hyperlink r:id="rId16">
              <w:r>
                <w:rPr>
                  <w:color w:val="0000FF"/>
                </w:rPr>
                <w:t>N 18-рк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17">
              <w:r>
                <w:rPr>
                  <w:color w:val="0000FF"/>
                </w:rPr>
                <w:t>N 78-рк</w:t>
              </w:r>
            </w:hyperlink>
            <w:r>
              <w:rPr>
                <w:color w:val="392C69"/>
              </w:rPr>
              <w:t xml:space="preserve">, от 20.12.2021 </w:t>
            </w:r>
            <w:hyperlink r:id="rId18">
              <w:r>
                <w:rPr>
                  <w:color w:val="0000FF"/>
                </w:rPr>
                <w:t>N 130-рк</w:t>
              </w:r>
            </w:hyperlink>
            <w:r>
              <w:rPr>
                <w:color w:val="392C69"/>
              </w:rPr>
              <w:t>,</w:t>
            </w:r>
          </w:p>
          <w:p w:rsidR="00B06D6B" w:rsidRDefault="00B06D6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19">
              <w:r>
                <w:rPr>
                  <w:color w:val="0000FF"/>
                </w:rPr>
                <w:t>N 9-рк</w:t>
              </w:r>
            </w:hyperlink>
            <w:r>
              <w:rPr>
                <w:color w:val="392C69"/>
              </w:rPr>
              <w:t xml:space="preserve">, от 30.05.2022 </w:t>
            </w:r>
            <w:hyperlink r:id="rId20">
              <w:r>
                <w:rPr>
                  <w:color w:val="0000FF"/>
                </w:rPr>
                <w:t>N 51-рк</w:t>
              </w:r>
            </w:hyperlink>
            <w:r>
              <w:rPr>
                <w:color w:val="392C69"/>
              </w:rPr>
              <w:t xml:space="preserve">, от 31.10.2022 </w:t>
            </w:r>
            <w:hyperlink r:id="rId21">
              <w:r>
                <w:rPr>
                  <w:color w:val="0000FF"/>
                </w:rPr>
                <w:t>N 88-рк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D6B" w:rsidRDefault="00B06D6B">
            <w:pPr>
              <w:pStyle w:val="ConsPlusNormal"/>
            </w:pPr>
          </w:p>
        </w:tc>
      </w:tr>
    </w:tbl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Паспорт муниципальной программы "Развитие общего образования</w:t>
      </w:r>
    </w:p>
    <w:p w:rsidR="00B06D6B" w:rsidRDefault="00B06D6B">
      <w:pPr>
        <w:pStyle w:val="ConsPlusTitle"/>
        <w:jc w:val="center"/>
      </w:pPr>
      <w:r>
        <w:t>в городе Тобольске"</w:t>
      </w:r>
    </w:p>
    <w:p w:rsidR="00B06D6B" w:rsidRDefault="00B06D6B">
      <w:pPr>
        <w:pStyle w:val="ConsPlusNormal"/>
        <w:jc w:val="center"/>
      </w:pPr>
      <w:r>
        <w:t xml:space="preserve">(в ред. </w:t>
      </w:r>
      <w:hyperlink r:id="rId2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06D6B" w:rsidRDefault="00B06D6B">
      <w:pPr>
        <w:pStyle w:val="ConsPlusNormal"/>
        <w:jc w:val="center"/>
      </w:pPr>
      <w:r>
        <w:t>от 28.03.2022 N 9-рк)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sectPr w:rsidR="00B06D6B" w:rsidSect="005B1E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5"/>
        <w:gridCol w:w="1020"/>
        <w:gridCol w:w="1384"/>
        <w:gridCol w:w="1384"/>
        <w:gridCol w:w="1909"/>
        <w:gridCol w:w="1714"/>
        <w:gridCol w:w="1909"/>
      </w:tblGrid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lastRenderedPageBreak/>
              <w:t>Правовое обоснование программы</w:t>
            </w:r>
          </w:p>
        </w:tc>
        <w:tc>
          <w:tcPr>
            <w:tcW w:w="9320" w:type="dxa"/>
            <w:gridSpan w:val="6"/>
          </w:tcPr>
          <w:p w:rsidR="00B06D6B" w:rsidRDefault="00B06D6B">
            <w:pPr>
              <w:pStyle w:val="ConsPlusNormal"/>
              <w:jc w:val="both"/>
            </w:pPr>
            <w:r>
              <w:t xml:space="preserve">- Федеральный </w:t>
            </w:r>
            <w:hyperlink r:id="rId23">
              <w:r>
                <w:rPr>
                  <w:color w:val="0000FF"/>
                </w:rPr>
                <w:t>закон</w:t>
              </w:r>
            </w:hyperlink>
            <w:r>
      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Федеральный </w:t>
            </w:r>
            <w:hyperlink r:id="rId24">
              <w:r>
                <w:rPr>
                  <w:color w:val="0000FF"/>
                </w:rPr>
                <w:t>закон</w:t>
              </w:r>
            </w:hyperlink>
            <w:r>
              <w:t xml:space="preserve"> от 03.11.2006 N 174-ФЗ "Об автономных учреждениях";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25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29.03.2019 N 363 "Об утверждении государственной программы Российской Федерации "Доступная среда";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27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08.12.2015 N 135 "О наделении органов местного самоуправления отдельными государственными полномочиями";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28">
              <w:r>
                <w:rPr>
                  <w:color w:val="0000FF"/>
                </w:rPr>
                <w:t>Решение</w:t>
              </w:r>
            </w:hyperlink>
            <w:r>
              <w:t xml:space="preserve"> Тобольской городской Думы от 27.12.2019 N 169 "Об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29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Тобольска;</w:t>
            </w:r>
          </w:p>
          <w:p w:rsidR="00B06D6B" w:rsidRDefault="00B06D6B">
            <w:pPr>
              <w:pStyle w:val="ConsPlusNormal"/>
              <w:jc w:val="both"/>
            </w:pPr>
            <w:r>
              <w:t>Правовые акты в сфере образования: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Федеральный </w:t>
            </w:r>
            <w:hyperlink r:id="rId30">
              <w:r>
                <w:rPr>
                  <w:color w:val="0000FF"/>
                </w:rPr>
                <w:t>закон</w:t>
              </w:r>
            </w:hyperlink>
            <w:r>
              <w:t xml:space="preserve"> от 29.12.2012 N 273-ФЗ "Об образовании в Российской Федерации";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Федеральный </w:t>
            </w:r>
            <w:hyperlink r:id="rId31">
              <w:r>
                <w:rPr>
                  <w:color w:val="0000FF"/>
                </w:rPr>
                <w:t>закон</w:t>
              </w:r>
            </w:hyperlink>
            <w:r>
              <w:t xml:space="preserve"> от 24.07.1998 N 124-ФЗ "Об основных гарантиях прав ребенка в Российской Федерации";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2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1642 "Об утверждении государственной программы Российской Федерации "Развитие образования" на 2018 - 2025 годы;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4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29 мая 2015 г. N 996-р "Об утверждении Стратегии развития воспитания в Российской Федерации на период до 2025 года";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5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12.03.2016 N 423-р "Об утверждении плана мероприятий по реализации в 2016 - 2020 годах Стратегии развития воспитания в Российской Федерации на период до 2025 года";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6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06.10.2009 N 373 "Об утверждении и введении в действие федерального государственного образовательного стандарта начального общего образования";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7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17.12.2010 N 1897 "Об утверждении федерального государственного образовательного стандарта основного общего образования";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8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17.05.2012 N 413 "Об утверждении федерального государственного образовательного стандарта среднего общего образования";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39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17.10.2013 N 1155 "Об утверждении федерального государственного образовательного стандарта дошкольного образования";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0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19 декабря 2014 г. N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1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19 декабря 2014 г. N 1599 "Об утверждении федерального </w:t>
            </w:r>
            <w:r>
              <w:lastRenderedPageBreak/>
              <w:t>государственного образовательного стандарта образования обучающихся с умственной отсталостью (интеллектуальными нарушениями)";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14.12.2018 N 479-п "Об утверждении Государственной программы "Развитие образования и науки Тюменской области" до 2020 года и на плановый период до 2025 года;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Тобольска от 11.11.2019 N 06-пк "Об утверждении Положения о предоставлении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4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Тобольска от 06.12.2021 N 127-рк "Об утверждении Положения о формировании и финансовом обеспечении выполнения муниципального задания муниципальными учреждениями города Тобольска и о признании утратившими силу некоторых распоряжений".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5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Тобольска от 19.04.2021 N 53-рк "Об утверждении порядка определения объема и условий предоставления муниципальным бюджетным, автономным учреждениям, в отношении которых департамент по образованию Администрации города Тобольска осуществляет функции и полномочия учредителя, субсидий на иные цели, в соответствии с абзацем 2 пункта 1 статьи 78.1 Бюджетного кодекса Российской Федерации";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Тобольска от 23.08.2021 N 66-пк "Об утверждении Порядка предоставления субсидий частным дошкольным образовательным организациям, частным общеобразовательным организациям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услуг)";</w:t>
            </w:r>
          </w:p>
          <w:p w:rsidR="00B06D6B" w:rsidRDefault="00B06D6B">
            <w:pPr>
              <w:pStyle w:val="ConsPlusNormal"/>
              <w:jc w:val="both"/>
            </w:pPr>
            <w:r>
              <w:t xml:space="preserve">- </w:t>
            </w:r>
            <w:hyperlink r:id="rId4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Тобольска от 06.04.2020 N 15-пк "Об утверждении Порядка предоставления субсидии на услугу по содержанию детей дошкольного возраста в группах полного дня юридическими лицами или индивидуальными предпринимателями, оказывающим на территории города Тобольска услуги по содержанию детей дошкольного возраста".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9320" w:type="dxa"/>
            <w:gridSpan w:val="6"/>
            <w:vAlign w:val="center"/>
          </w:tcPr>
          <w:p w:rsidR="00B06D6B" w:rsidRDefault="00B06D6B">
            <w:pPr>
              <w:pStyle w:val="ConsPlusNormal"/>
            </w:pPr>
            <w:r>
              <w:t>Департамент по образованию Администрации города Тобольска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9320" w:type="dxa"/>
            <w:gridSpan w:val="6"/>
          </w:tcPr>
          <w:p w:rsidR="00B06D6B" w:rsidRDefault="00B06D6B">
            <w:pPr>
              <w:pStyle w:val="ConsPlusNormal"/>
              <w:jc w:val="both"/>
            </w:pPr>
            <w:r>
              <w:t>Департамент по образованию Администрации города Тобольска</w:t>
            </w:r>
          </w:p>
          <w:p w:rsidR="00B06D6B" w:rsidRDefault="00B06D6B">
            <w:pPr>
              <w:pStyle w:val="ConsPlusNormal"/>
              <w:jc w:val="both"/>
            </w:pPr>
            <w:r>
              <w:t>Департамент имущественных отношений Администрации города Тобольска</w:t>
            </w:r>
          </w:p>
          <w:p w:rsidR="00B06D6B" w:rsidRDefault="00B06D6B">
            <w:pPr>
              <w:pStyle w:val="ConsPlusNormal"/>
              <w:jc w:val="both"/>
            </w:pPr>
            <w:r>
              <w:t>Департамент городской среды Администрации города Тобольска</w:t>
            </w:r>
          </w:p>
          <w:p w:rsidR="00B06D6B" w:rsidRDefault="00B06D6B">
            <w:pPr>
              <w:pStyle w:val="ConsPlusNormal"/>
              <w:jc w:val="both"/>
            </w:pPr>
            <w:r>
              <w:t>Муниципальные образовательные организации, подведомственные Департаменту по образованию Администрации города Тобольска</w:t>
            </w:r>
          </w:p>
          <w:p w:rsidR="00B06D6B" w:rsidRDefault="00B06D6B">
            <w:pPr>
              <w:pStyle w:val="ConsPlusNormal"/>
              <w:jc w:val="both"/>
            </w:pPr>
            <w:r>
              <w:t>Муниципальное автономное учреждение "Центр содействия семейному воспитанию "Дом для детей"</w:t>
            </w:r>
          </w:p>
          <w:p w:rsidR="00B06D6B" w:rsidRDefault="00B06D6B">
            <w:pPr>
              <w:pStyle w:val="ConsPlusNormal"/>
              <w:jc w:val="both"/>
            </w:pPr>
            <w:r>
              <w:lastRenderedPageBreak/>
              <w:t>Муниципальное автономное учреждение "Центр обеспечения деятельности отрасли "Образование" г. Тобольска"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lastRenderedPageBreak/>
              <w:t>Цели программы</w:t>
            </w:r>
          </w:p>
        </w:tc>
        <w:tc>
          <w:tcPr>
            <w:tcW w:w="9320" w:type="dxa"/>
            <w:gridSpan w:val="6"/>
          </w:tcPr>
          <w:p w:rsidR="00B06D6B" w:rsidRDefault="00B06D6B">
            <w:pPr>
              <w:pStyle w:val="ConsPlusNormal"/>
              <w:jc w:val="both"/>
            </w:pPr>
            <w:r>
              <w:t>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t>Задачи программы</w:t>
            </w:r>
          </w:p>
        </w:tc>
        <w:tc>
          <w:tcPr>
            <w:tcW w:w="9320" w:type="dxa"/>
            <w:gridSpan w:val="6"/>
          </w:tcPr>
          <w:p w:rsidR="00B06D6B" w:rsidRDefault="00B06D6B">
            <w:pPr>
              <w:pStyle w:val="ConsPlusNormal"/>
            </w:pPr>
            <w:r>
              <w:t>1. Обеспечить реализацию прав граждан на получение общедоступного и качественного дошкольного образования в соответствии с федеральным государственным образовательным стандартом.</w:t>
            </w:r>
          </w:p>
          <w:p w:rsidR="00B06D6B" w:rsidRDefault="00B06D6B">
            <w:pPr>
              <w:pStyle w:val="ConsPlusNormal"/>
            </w:pPr>
            <w:r>
              <w:t>2. Обеспечить реализацию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стандартами.</w:t>
            </w:r>
          </w:p>
          <w:p w:rsidR="00B06D6B" w:rsidRDefault="00B06D6B">
            <w:pPr>
              <w:pStyle w:val="ConsPlusNormal"/>
            </w:pPr>
            <w:r>
              <w:t>3. Обеспечить развитие кадрового потенциала, устойчивый рост профессионализма педагогического коллектива.</w:t>
            </w:r>
          </w:p>
          <w:p w:rsidR="00B06D6B" w:rsidRDefault="00B06D6B">
            <w:pPr>
              <w:pStyle w:val="ConsPlusNormal"/>
            </w:pPr>
            <w:r>
              <w:t>4. Повысить уровень реализации социальных функций муниципальной системы общего образования.</w:t>
            </w:r>
          </w:p>
          <w:p w:rsidR="00B06D6B" w:rsidRDefault="00B06D6B">
            <w:pPr>
              <w:pStyle w:val="ConsPlusNormal"/>
            </w:pPr>
            <w:r>
              <w:t>5. Обеспечить развитие современной инфраструктуры образовательных организаций.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9320" w:type="dxa"/>
            <w:gridSpan w:val="6"/>
            <w:vAlign w:val="center"/>
          </w:tcPr>
          <w:p w:rsidR="00B06D6B" w:rsidRDefault="00B06D6B">
            <w:pPr>
              <w:pStyle w:val="ConsPlusNormal"/>
            </w:pPr>
            <w:r>
              <w:t>2020 - 2024 годы</w:t>
            </w:r>
          </w:p>
        </w:tc>
      </w:tr>
      <w:tr w:rsidR="00B06D6B">
        <w:tc>
          <w:tcPr>
            <w:tcW w:w="2435" w:type="dxa"/>
            <w:vMerge w:val="restart"/>
            <w:tcBorders>
              <w:bottom w:val="nil"/>
            </w:tcBorders>
          </w:tcPr>
          <w:p w:rsidR="00B06D6B" w:rsidRDefault="00B06D6B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области, тыс. рублей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Тобольска, тыс. рублей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Итого бюджетное финансирование,</w:t>
            </w:r>
          </w:p>
          <w:p w:rsidR="00B06D6B" w:rsidRDefault="00B06D6B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источники, тыс. рублей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Всего объем</w:t>
            </w:r>
          </w:p>
          <w:p w:rsidR="00B06D6B" w:rsidRDefault="00B06D6B">
            <w:pPr>
              <w:pStyle w:val="ConsPlusNormal"/>
              <w:jc w:val="center"/>
            </w:pPr>
            <w:r>
              <w:t>финансирования,</w:t>
            </w:r>
          </w:p>
          <w:p w:rsidR="00B06D6B" w:rsidRDefault="00B06D6B">
            <w:pPr>
              <w:pStyle w:val="ConsPlusNormal"/>
              <w:jc w:val="center"/>
            </w:pPr>
            <w:r>
              <w:t>тыс. рублей</w:t>
            </w:r>
          </w:p>
        </w:tc>
      </w:tr>
      <w:tr w:rsidR="00B06D6B"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1 648 369,00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1 089 084,00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2 737 453,00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10 798,00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2 748 251,00</w:t>
            </w:r>
          </w:p>
        </w:tc>
      </w:tr>
      <w:tr w:rsidR="00B06D6B"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1 878 076,16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950 903,30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2 828 979,46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12 822,00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2 841 801,46</w:t>
            </w:r>
          </w:p>
        </w:tc>
      </w:tr>
      <w:tr w:rsidR="00B06D6B"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1 859 331,61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1 461 284,81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3 320 616,42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3 320 616,42</w:t>
            </w:r>
          </w:p>
        </w:tc>
      </w:tr>
      <w:tr w:rsidR="00B06D6B"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1 774 059,94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1 144 967,24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2 919 027,18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2 919 027,18</w:t>
            </w:r>
          </w:p>
        </w:tc>
      </w:tr>
      <w:tr w:rsidR="00B06D6B"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</w:tcPr>
          <w:p w:rsidR="00B06D6B" w:rsidRDefault="00B06D6B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1 794 674,23</w:t>
            </w:r>
          </w:p>
        </w:tc>
        <w:tc>
          <w:tcPr>
            <w:tcW w:w="1384" w:type="dxa"/>
          </w:tcPr>
          <w:p w:rsidR="00B06D6B" w:rsidRDefault="00B06D6B">
            <w:pPr>
              <w:pStyle w:val="ConsPlusNormal"/>
              <w:jc w:val="center"/>
            </w:pPr>
            <w:r>
              <w:t>988 751,00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2 783 425,23</w:t>
            </w:r>
          </w:p>
        </w:tc>
        <w:tc>
          <w:tcPr>
            <w:tcW w:w="1714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09" w:type="dxa"/>
          </w:tcPr>
          <w:p w:rsidR="00B06D6B" w:rsidRDefault="00B06D6B">
            <w:pPr>
              <w:pStyle w:val="ConsPlusNormal"/>
              <w:jc w:val="center"/>
            </w:pPr>
            <w:r>
              <w:t>2 783 425,23</w:t>
            </w:r>
          </w:p>
        </w:tc>
      </w:tr>
      <w:tr w:rsidR="00B06D6B">
        <w:tblPrEx>
          <w:tblBorders>
            <w:insideH w:val="nil"/>
          </w:tblBorders>
        </w:tblPrEx>
        <w:tc>
          <w:tcPr>
            <w:tcW w:w="2435" w:type="dxa"/>
            <w:vMerge/>
            <w:tcBorders>
              <w:bottom w:val="nil"/>
            </w:tcBorders>
          </w:tcPr>
          <w:p w:rsidR="00B06D6B" w:rsidRDefault="00B06D6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8 954 510,94</w:t>
            </w:r>
          </w:p>
        </w:tc>
        <w:tc>
          <w:tcPr>
            <w:tcW w:w="1384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5 634 990,35</w:t>
            </w:r>
          </w:p>
        </w:tc>
        <w:tc>
          <w:tcPr>
            <w:tcW w:w="1909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14 589 501,29</w:t>
            </w:r>
          </w:p>
        </w:tc>
        <w:tc>
          <w:tcPr>
            <w:tcW w:w="1714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23 620,00</w:t>
            </w:r>
          </w:p>
        </w:tc>
        <w:tc>
          <w:tcPr>
            <w:tcW w:w="1909" w:type="dxa"/>
            <w:tcBorders>
              <w:bottom w:val="nil"/>
            </w:tcBorders>
          </w:tcPr>
          <w:p w:rsidR="00B06D6B" w:rsidRDefault="00B06D6B">
            <w:pPr>
              <w:pStyle w:val="ConsPlusNormal"/>
              <w:jc w:val="center"/>
            </w:pPr>
            <w:r>
              <w:t>14 613 121,29</w:t>
            </w:r>
          </w:p>
        </w:tc>
      </w:tr>
      <w:tr w:rsidR="00B06D6B">
        <w:tblPrEx>
          <w:tblBorders>
            <w:insideH w:val="nil"/>
          </w:tblBorders>
        </w:tblPrEx>
        <w:tc>
          <w:tcPr>
            <w:tcW w:w="11755" w:type="dxa"/>
            <w:gridSpan w:val="7"/>
            <w:tcBorders>
              <w:top w:val="nil"/>
            </w:tcBorders>
          </w:tcPr>
          <w:p w:rsidR="00B06D6B" w:rsidRDefault="00B06D6B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31.10.2022 N 88-рк)</w:t>
            </w:r>
          </w:p>
        </w:tc>
      </w:tr>
      <w:tr w:rsidR="00B06D6B">
        <w:tc>
          <w:tcPr>
            <w:tcW w:w="2435" w:type="dxa"/>
          </w:tcPr>
          <w:p w:rsidR="00B06D6B" w:rsidRDefault="00B06D6B">
            <w:pPr>
              <w:pStyle w:val="ConsPlusNormal"/>
            </w:pPr>
            <w:r>
              <w:lastRenderedPageBreak/>
              <w:t>Ожидаемые конечные результаты реализации программы</w:t>
            </w:r>
          </w:p>
        </w:tc>
        <w:tc>
          <w:tcPr>
            <w:tcW w:w="9320" w:type="dxa"/>
            <w:gridSpan w:val="6"/>
          </w:tcPr>
          <w:p w:rsidR="00B06D6B" w:rsidRDefault="00B06D6B">
            <w:pPr>
              <w:pStyle w:val="ConsPlusNormal"/>
              <w:jc w:val="both"/>
            </w:pPr>
            <w:r>
              <w:t>Увеличение удельного веса численности обучающихся в муниципальных образовательных организациях в соответствии с федеральными государственными образовательными стандартами в общей численности обучающихся в муниципальных образовательных организациях до 100%.</w:t>
            </w:r>
          </w:p>
          <w:p w:rsidR="00B06D6B" w:rsidRDefault="00B06D6B">
            <w:pPr>
              <w:pStyle w:val="ConsPlusNormal"/>
              <w:jc w:val="both"/>
            </w:pPr>
            <w:r>
              <w:t>Увеличение удельного веса числа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организаций.</w:t>
            </w:r>
          </w:p>
          <w:p w:rsidR="00B06D6B" w:rsidRDefault="00B06D6B">
            <w:pPr>
              <w:pStyle w:val="ConsPlusNormal"/>
              <w:jc w:val="both"/>
            </w:pPr>
            <w:r>
              <w:t>Реализация в полном объеме основных направлений регионального проекта национального проекта "Образование" в муниципальных образовательных организациях.</w:t>
            </w:r>
          </w:p>
        </w:tc>
      </w:tr>
    </w:tbl>
    <w:p w:rsidR="00B06D6B" w:rsidRDefault="00B06D6B">
      <w:pPr>
        <w:pStyle w:val="ConsPlusNormal"/>
        <w:sectPr w:rsidR="00B06D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B06D6B" w:rsidRDefault="00B06D6B">
      <w:pPr>
        <w:pStyle w:val="ConsPlusTitle"/>
        <w:jc w:val="center"/>
      </w:pPr>
      <w:r>
        <w:t>муниципальная программа</w:t>
      </w:r>
    </w:p>
    <w:p w:rsidR="00B06D6B" w:rsidRDefault="00B06D6B">
      <w:pPr>
        <w:pStyle w:val="ConsPlusNormal"/>
        <w:jc w:val="center"/>
      </w:pPr>
      <w:r>
        <w:t xml:space="preserve">(в ред. </w:t>
      </w:r>
      <w:hyperlink r:id="rId4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06D6B" w:rsidRDefault="00B06D6B">
      <w:pPr>
        <w:pStyle w:val="ConsPlusNormal"/>
        <w:jc w:val="center"/>
      </w:pPr>
      <w:r>
        <w:t>от 28.03.2022 N 9-рк)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Достижение результатов нового качества образования (Цель программы) осуществляется через реализацию прав детей и молодежи на получение общедоступного и качественного общего образования на основе модернизации образовательной практики в соответствии с федеральными государственными требованиями и образовательными стандартами и социальных функций системы образования. Обеспечение доступности и качества услуг невозможно без создания и развития соответствующей образовательной инфраструктуры, кадрового потенциала.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По состоянию на 01.01.2022 в системе дошкольного образования города Тобольска осуществляют деятельность: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7 муниципальных автономных дошкольных образовательных организаций: МАДОУ N 1, 7, 10, 30, 40, 49, 51;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1 дошкольное отделение МАОУ СОШ N 15;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7 структурных подразделений МАОУ СОШ N 1, 2, 6, 14, 15,16 имени В.П. Неймышева, 20.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- 4 негосударственных частных дошкольных образовательных учреждения ("Детский сад N 142 ОАО "РЖД", Детский сад "38 попугаев", ИП Шоломова (ЧДС "Маленькая страна"), ИП Макеева (ЧДС РР "Речецветик").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Все муниципальные образовательные организации, реализующие основные образовательные программы дошкольного образования, имеют государственную лицензию на право оказания образовательных и медицинских услуг, полностью укомплектованы педагогическими кадрами.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 году численность воспитанников составила 8465 чел. (2020 год - 8732 чел., 2019 год - 9332 чел., 2018 год - 8712 чел.). Потребность граждан в услугах дошкольного образования удовлетворяется, в том числе посредством предоставления вариативных форм: интегрированное кратковременное пребывание, консультативно-методические пункты, услуги частных детских садов.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Все частные дошкольные образовательные организации имеют лицензию на реализацию образовательной программы дошкольного образования (100%). Развитие частного предпринимательства в сфере дошкольного образования не только способствует повышению доступности дошкольного образования, но и создает благоприятную конкурентную среду на рынке услуг дошкольного образования.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Проводимые мероприятия позволили достичь 100% охвата образовательной услугой детей в возрасте от 3 до 7 лет. Показатель охвата детей от 1 до 7 лет различными формами дошкольного образования в муниципальных дошкольных образовательных организациях составил 86,1% (80,2% - 2020 г.).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Локальная потребность в местах в дошкольных образовательных организациях в отдельных микрорайонах города, в том числе для детей от 1 до 3 лет имеется в микрорайонах: Центральный, на территории Нижнего Посада.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Во всех дошкольных образовательных организациях создается безопасная развивающая предметно-пространственная среда в соответствии с федеральным государственным образовательным стандартом дошкольного образования.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В рамках реализации регионального проекта "Поддержка семей, имеющих детей" национального проекта "Образование" и регионального проекта "Содействие занятости женщин - создание условий дошкольного образования для детей в возрасте до трех лет" национального проекта "Демография", актуальной остается поддержка семей в вопросах подготовки детей к обучению в школе, оказания консультативной помощи родителям по вопросам воспитания, образования, развития детей дошкольного возраста, проведения диагностического обследования детей перед поступлением в школу. Помощь родителям (законным представителям) и детям, воспитывающимся в условиях семьи, оказывается на базе всех дошкольных образовательных </w:t>
      </w:r>
      <w:r>
        <w:lastRenderedPageBreak/>
        <w:t>организаций в условиях консультативно-методического пункта.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целях сохранения и укрепления здоровья воспитанников, привития навыков здорового образа жизни, дошкольные образовательные организации принимают активное участие в областном фестивале-конкурсе детских тематических проектов "Питание и здоровье". Кроме этого, обучающиеся дошкольных образовательных организаций являются активными участниками мероприятий: "Кросс Наций", "Лыжня России", Всероссийский физкультурно-спортивный комплекс "Готов к труду и обороне", Спартакиада дошкольных образовательных организаций (победители - МАДОУ "Детский сад N 51", МАОУ СОШ N 1, МАДОУ "Детский сад N 40 - ЦРР", МАОУ СОШ N 2).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Достигнуты позитивные тенденции развития системы дошкольного образования по следующим направлениям: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обеспечение комфортной среды развития дошкольника (режим дня, двигательная активность, разнообразие игр);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взаимодействие семьи и детского сада в обеспечении социального благополучия и успешного развития каждого ребенка.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Вместе с положительными тенденциями имеются проблемы, требующие решений: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отмечается локальная потребность в обеспечении детей местами в детских садах в отдельных микрорайонах города;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увеличение численности детей, нуждающихся в психолого-педагогической коррекции нарушений развития и здоровья.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По состоянию на 01.01.2022 сеть системы общего образования представлена 16 муниципальными общеобразовательными организациями, в том числе 3 учреждения повышенного статуса: гимназия, лицей, МАОУ СОШ N 9 с углубленным изучением отдельных предметов, 1 частное общеобразовательное учреждение "Православная гимназия во имя Святителя Иоанна, митрополита Тобольского". Кроме того, осуществляет деятельность муниципальное автономное учреждение "Центр содействия семейному воспитанию "Дом для детей".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Количество обучающихся по состоянию на 01.09.2021 составило 16703 чел. (2020 год - 16176 чел., 2019 год - 15860 чел., 2018 год - 15455 чел., 2017 год - 14900 чел.).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течение 2021 года обучение осуществлялось по общеобразовательным программам и адаптированным образовательным программам для детей с ограниченными возможностями здоровья. В 2021 году в образовательных организациях обучалось 768 детей с ограниченными возможностями здоровья.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2021/2022 годах в сфере общего образования приоритетное внимание было сосредоточено на следующих аспектах деятельности общеобразовательных организаций: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обеспечение доступности качественного образования независимо от места проживания и состояния здоровья детей;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реализация региональных проектов национального проекта "Образование", в том числе: изменение содержания предметных областей предметов технология, информатика, ОБЖ, биология, химия, география, физика; организация работы по внедрению "вынесенного урока технологии".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За последние три года отмечены позитивные тенденции развития муниципальной системы общего образования по следующим направлениям.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Развитие системы профильного образования и углубленного изучения отдельных учебных предметов. Доля общеобразовательных организаций, реализующих профильное обучение на уровне среднего общего образования в 2021/2022 учебном году, составила - 100%. Углубленное изучение отдельных учебных предметов организовано в МАОУ СОШ N 9 (биология, химия, физика), МАОУ "Гимназия имени Н.Д.Лицмана" (математика, информатика), МАОУ "Лицей" (обществознание). В МАОУ СОШ N 9,18 открыты классы Сибура, в МАОУ СОШ N 17, "Гимназия имени Н.Д.Лицмана" - индустриальные классы.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Осуществляется реализация и сопровождение образовательных проектов с ПАО "Сибур Холдинг": классы СИБУРа, грантовый проект "Одаренные дети", Проектная школа СИБУРа, </w:t>
      </w:r>
      <w:r>
        <w:lastRenderedPageBreak/>
        <w:t>обучение по индивидуальной образовательной траектории инженерно-технического направления, реализация модели "бесшовного" (беспрерывного) образования; инженерные классы Тюменского индустриального нефтегазового университета.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Реализация мероприятий в рамках проекта "Одаренные дети". В общеобразовательных организациях открыты предметные кружки, секции, клубы, разновозрастные научные общества обучающихся, в том числе на сетевой и межведомственной основе с привлечением лабораторной базы и кадрового потенциала учреждений профессионального образования, внедрена система поощрения одаренных детей - стипендия Главы города (69 чел.). Общая численность участников олимпиад составляет более 80% от общей численности обучающихся. Доля победителей (призеров) олимпиад и конкурсов муниципального, областного, всероссийского и международного уровней в общей численности участников олимпиад и конкурсов муниципального, областного, всероссийского и международного уровней, составила 21% (2020 - 20,6%, 2019 - 20%).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Результатами работы по повышению качества образования в общеобразовательных организациях являются стабильные показатели абсолютной и качественной успеваемости - 99,6/52,3% (2020 г. - 99,8/56,4%, 2019 г. - 99,8%/49,4%). Образовательные результаты - это показатели государственной итоговой аттестации выпускников основного и среднего уровней образования. Несмотря на их позитивную динамику, они не могут рассматриваться на данном этапе как достаточные. В 2021 году показатель "Доля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муниципальных общеобразовательных организаций" составил 1,2% (2019 - 5,3%, 2020 - 0%). Результаты государственной итоговой аттестации в 9, 11 (12)-х классах свидетельствуют о том, что в образовательных организациях в целом созданы необходимые условия для получения общего образования. Вместе с тем, выявлены следующие проблемы: не достаточный уровень работы с учащимися, имеющими низкую мотивацию к обучению, применение эффективных методик работы с данной категорией обучающихся.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Таким образом, на 2022 - 2024 годы актуальными остаются следующие задачи: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проведение информационно-разъяснительной работы с выпускниками по процедуре проведения государственной итоговой аттестации, переход на обучение по индивидуальным учебным планам;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расширение пула используемых результативных методик и технологий индивидуальной работы с учащимися низкого уровня мотивации к обучению.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городе Тобольске ведется активная работа по созданию условий для образования обучающихся с ограниченными возможностями здоровья, которые получают образовательные услуги, исходя из своих возможностей и запросов, в том числе по адаптированным программам. Охват детей с ограниченными возможностями здоровья различными формами обучения составляет 100%. В целях обеспечения социализации и адаптации детей с ограниченными возможностями здоровья реализуется комплекс мер по совершенствованию форм оказания логопедической помощи. На базе каждой образовательной организации функционирует логопедический пункт, оказана коррекционная помощь более 600 обучающимся.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рамках реализации социальных функций в образовательных организациях созданы условия для достижения поставленных целей: осуществляется реализация индивидуальных подходов в организации школьного питания, включая использование возможностей формирования родителями меню АИС "Электронная школа" Тюменской области, систематически реализуются меры социальной поддержки в форме компенсации части средств на оплату питания всем категориям обучающихся из областного бюджета, с учетом дифференцированного подхода к объему финансирования различных категорий обучающихся.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Не менее важным аспектом деятельности является расширение физической активности с учетом потребностей и возможностей обучающихся, повышение эффективности занятий физической культурой, развитие различных спортивно-оздоровительных форм и организация просветительской работы с родителями и общественностью.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Образовательным результатом в парадигме новых стандартов является воспитание успешного поколения граждан, владеющих адекватными времени знаниями, навыками и компетенциями, основанными на идеалах демократии и правового государства, в соответствии с национальными и общечеловеческими ценностными установками. Приоритетными являются духовно-нравственное развитие гражданина России, формирование гражданственности, </w:t>
      </w:r>
      <w:r>
        <w:lastRenderedPageBreak/>
        <w:t>патриотизма, активной жизненной позиции.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Планирование своей профессиональной и социальной деятельности определяется наличием активной жизненной позиции и лидерских качеств несовершеннолетних, на формирование которых направлена деятельность детских общественных объединений, функционирующих на базе 16 общеобразовательных организаций, в которых задействовано 46% обучающихся. Обучающиеся принимают активное участие в волонтерском и тимуровском движении (около 8% обучающихся), в социально значимых акциях ("Тепло родного дома", "Ветеран живет рядом", "Праздник в дом к ветерану"). А также в 2021 году отмечена значительная активность образовательных организаций в конкурсах, проектах, акциях разного уровня. В рейтинг самых активных школ "Топ - 25" Тюменской области вошли: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СОШ N 9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СОШ N 1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"Гимназия имени Н.Д.Лицмана".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Среди активных школ отмечены следующие: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СОШ N 16 города Тобольска имени В.П.Неймышева;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СОШ N 5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МАОУ СОШ N 18 города Тобольска.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2021, 2022 годах к основным достижениям муниципальной системы общего образования города Тобольска также отнесены личные и командные достижения обучающихся и педагогов, педагогических коллективов в конкурсах: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региональные этапы конкурсов, проектов, фестивалей в рамках РДШ, в том числе "Большая перемена", "Без срока давности" (МАОУ "Лицей" г. Тобольска);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региональный этап Всероссийского фестиваля школьных хоров "Поют дети России" (МАОУ "Гимназия им. Н.Д.Лицмана" г. Тобольска, МАОУ СОШ N 7, 17);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региональный этап Всероссийского конкурса сочинений, посвященного личности и подвигу Ю.А. Гагарина "Сын России" (МАОУ СОШ N 1);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региональный этап Всероссийского конкурса "Живая классика" (МАОУ СОШ N 17);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региональный этап Всероссийского конкурса "#Вместеярче" (МАОУ СОШ N 5);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областной фестиваль музыкально-литературных композиций "Этот день Победы" (МАОУ "Гимназия им. Н.Д.Лицмана", МАОУ СОШ N 9);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областной конкурс социальных проектов "Символы региона" (МАОУ СОШ N 1, 5);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областной фестиваль школьных спектаклей "Премьера - 2021" (МАОУ "Гимназия им. Н.Д. Лицмана", МАОУ СОШ N 9).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За подготовку и участие в региональном 5-летнем проекте-конкурсе "Узнай героя-земляка" грамотой Департамента образования и науки Тюменской области награжден педагогический коллектив МАОУ СОШ N 1.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 году учащийся МАОУ "Лицей" стал одним из победителей Всероссийского конкурса школьников "Большая перемена".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2021, 2022 годах во всех общеобразовательных организациях особое внимание уделялось развитию Российского движения школьников. В течение года школы принимали участие в мероприятиях по всем направлениям деятельности Российского движения школьников: личностное развитие, гражданская активность, информационно-медийное направление, военно-патриотическое направление - в рамках Дней единых действий, объединяющих все детские организации страны.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Расширение практики детского самоуправления, участия детей в принятии решений по </w:t>
      </w:r>
      <w:r>
        <w:lastRenderedPageBreak/>
        <w:t>значимым вопросам их жизнедеятельности посредством представительства в органах управления образовательными организациями, общественных организациях и советах позволяет более эффективно решать задачи социализации подрастающего поколения, формировать моральные ценности и гражданские установки.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целях подготовки будущих выпускников к проектированию школьного образовательно-профессионального маршрута в общеобразовательных организациях проводятся следующие мероприятия: тематические классные часы, встречи с представителями учреждений профессионального образования, выезды на предприятия, в учреждения и организации, мероприятия с родителями в рамках работы городского Родительского университета, профориентационные игры, квесты.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городе реализуется план взаимодействия и профориентационной работы ООО "СИБУР", в рамках которого проводились уроки на производстве для учащихся классов СИБУРа МАОУ СОШ N 9,18.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Предупреждение правонарушений и асоциальных проявлений, привитие иммунитета к негативным проявлениям внешней среды, реализуется как через педагогические технологии доверительного участия и личного примера, так и через сотрудничество с семьей.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Организована информационно-разъяснительная и просветительская работа с родителями "Родительский всеобуч", к которой подключены специалисты всех ведомств системы профилактики, в том числе на базе кабинетов ПАВ (МАОУ СОШ N 1, МАУ "Центр ОДО "Образование" г. Тобольска"). Ежегодно проводится более 1 тыс. индивидуальных консультаций по медико-социальным и правовым вопросам, семинаров, конференций, лекций. Наряду с традиционными формами "родительского всеобуча", развиваются "сетевые", интерактивные формы, внедряется семейное и школьно-семейное проектирование, которое объединяет усилия семьи и школы в создании комфортной, дружественной ребенку образовательной среды.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Отставание изменений содержания форм, методов воспитания от потребностей и запросов учащихся, воспитанников, семьи и общества является причинами возникновения проблем: недостаточная преемственность в формировании ценностных ориентаций у учащихся и воспитанников в урочной и внеурочной деятельности; незаинтересованность несовершеннолетних в планировании своей профессиональной и общественной деятельности. Наличие существующих проблем препятствует успешной социализации обучающихся и воспитанников.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результате отсутствия комплексного подхода к решению проблем молодого поколения в последние годы появились негативные тенденции, которые проявляются, прежде всего, в снижении интереса обучающихся и воспитанников к общественной, социально значимой деятельности, к принятию ответственности за выбор нравственных ценностей и профессиональных предпочтений.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Исходя из анализа результатов и выявленных проблемных вопросов, приоритетами в части развития воспитания являются: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расширение новых форм внеурочной занятости, в том числе творческих переменок, мастер-классов, занятий в клубах;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вовлечение детей и молодежи в различные социальные практики, волонтерское движение;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развитие комплексной социально-психологической, педагогической помощи и поддержки всех категорий детей и молодежи;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противодействие асоциальным проявлениям в подростково-молодежной среде (профилактика наркомании, агрессивности, жестокости, алкоголизма).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Основой повышения качества образования является качество кадровых ресурсов. Одной из задач является постоянное обновление и омоложение учительского корпуса. Удельный вес численности учителей общеобразовательных организаций в возрасте до 35 лет в общей численности учителей общеобразовательных организаций составляет 20,2%.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рамках реализации регионального проекта "Учитель будущего" национального проекта "Образование" организована работа по реализации гибких форм повышения профессионального мастерства, в том числе методического абонемента педагогических коллективов, сквозных сессий, единых методических дней. Активно развивается система наставничества, поддержка молодых учителей.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lastRenderedPageBreak/>
        <w:t>В образовательных организациях осуществляется системная работа по позиционированию педагогического труда и развитию высокого уровня технологичности через участие педагогов в конкурсах профессионального мастерства регионального и всероссийского уровней: "Педагог года Тюменской области", "За нравственный подвиг учителя", "Мой лучший урок", Конкурс на получение денежного поощрения лучшими учителями РФ, региональный фестиваль-конкурс профессионального мастерства "Две звезды", региональный конкурс "Лучший преподаватель предмета ОБЖ", Всероссийский конкурс "Флагманы образования", областной конкурс "Лучшая образовательная программа по профилактике и коррекции трудностей развития и социализации детей с особыми образовательными потребностями", областной конкурс "ИТ-Актив-2021".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Доля педагогов, принявших участие в конкурсах, проектах разного уровня в 2021 году составила 37,2% (2019 г. - 24,5%, 2020 г. - 28,7%).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Педагогические команды все активнее принимают участие в инновационных конкурсах педагогического мастерства. Команда МАОУ "Гимназия им Н.Д. Лицмана" являются полуфиналистами Всероссийского профессионального конкурса "Флагманы образования. Школа" президентской платформы "Россия - страна возможностей". Педагоги МАОУ СОШ N 16 им. В.П. Неймышева, МАОУ СОШ N 5,12,15 получили призовые места во Всероссийском дистанционном этапе метапредметной олимпиады "Команда Большой страны" Академии Министерства Просвещении России.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Учитель физики МАОУ СОШ N 12 занял 1 место в региональном этапе и вышел на федеральный уровень Всероссийской профессиональной олимпиады для учителей физики Академии Министерства Просвещении России.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2021 году в рейтинг "Топ-100" Лучшие школы России включена МАОУ "Гимназия имени Н.Д. Лицмана". Кроме того, МАОУ "Гимназия имени Н.Д. Лицмана" является победителем Общероссийского рейтинга школьных сайтов РФ Академия Просвещение. МАОУ СОШ N 18 - лауреат-победитель IV Всероссийского смотра-конкурса образовательных организаций "Лучшие 1000 школ 2021".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течение учебного года работают предметные методические объединения, проводятся заседания Школ руководителей ГМО, кадрового резерва, молодого педагога. В рамках организационно-методического и информационного обеспечения деятельности образовательных организаций созданы и функционируют городской научно-методический совет, экспертный совет. Методической службой особое внимание уделяется позитивным изменениям в структуре и содержании образования, развитии инновационной и опытно-экспериментальной деятельности. В муниципальной системе общего образования функционируют 24 инновационные площадки федерального, регионального и муниципального уровней. Доля образовательных организаций, систематически использующих инновационные технологии в образовательном процессе - 87,1%. В целом, в муниципальной системе общего образования города Тобольска сформирована городская сетевая и внутришкольная модель повышения квалификации, ведется системная работа по развитию кадровых ресурсов.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Вместе с тем, необходимо отметить недостаточный уровень качественного изменения форм и методов преподавания, применения эффективных управленческих технологий, в том числе в организации индивидуальной работы с детьми с особыми образовательными потребностями.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Следует отметить, что муниципальная политика ориентирована на полноценную поддержку всех образовательных организаций, что обуславливает выдвижение требований к каждой образовательной организации соответствовать современным запросам общества и предоставлять все необходимые условия для полноценного развития обучающихся.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Качество предоставляемых образовательных услуг непосредственно зависит от состояния инфраструктуры образовательных организаций.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По состоянию на 01.01.2021 функционирует 49 зданий школ и детских садов. Развитие инфраструктуры образовательных организаций осуществляется посредством поддержания зданий в нормативном техническом состоянии, проведения ремонтных работ, текущего либо капитального характера. За последние десять лет капитальный ремонт и реконструкция выполнены в 7 образовательных организациях, частичный капитальный ремонт (устройство скатной кровли, устройство ограждения территории, замена оконных и дверных блоков) - в 47 зданиях образовательных организаций.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lastRenderedPageBreak/>
        <w:t>Благодаря системным подходам к реализации единых типовых решений по осуществлению строительства, реконструкции и проведению комплексных ремонтных работ, в муниципальной системе общего образования отсутствуют ветхие и аварийные здания, во всех образовательных организациях созданы безопасные и комфортные условия пребывания.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За последние годы произошла модернизация школьных столовых, обновлены фонды библиотек, приобретено учебное, учебно-лабораторное оборудование, специализированные средства обучения для проведения технических, исследовательских и иных творческих работ и проектов.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2020 - 2021 годах выполнены работы по устройству системы видеонаблюдения, системы контроля и управления доступом (СКУД) в 18 корпусах образовательных организаций, устройство спортивных площадок в МАОУ "Гимназия имени Н.Д. Лицмана", подготовка проектной документации для выполнения капитального ремонта МАОУ СОШ N 16 имени В.П. Неймышева", выполнен ремонт наружной канализации с установкой септиков МАОУ СОШ N 14. Кроме того, в отдельных образовательных организациях осуществлен ремонт пола и замена дверных блоков, ремонт пищеблоков, замена оконных блоков, установка охранной сигнализации, капитальный ремонт фасада здания, спортивных залов, скатной крыши, бассейна, ремонт гардеробов.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Вместе с тем, отмечаются недостаточные темпы модернизации материально-технической базы образовательных организаций, наличие локальной потребности в образовательных организациях в строящихся микрорайонах.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Причины возникновения проблемы: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отставание темпов строительства новых образовательных организаций от темпов застройки города;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низкие темпы проведения капитальных ремонтов и реконструкции зданий, возведенных по старым проектам, не соответствующим современным запросам системы образования;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отсутствие в значительной части образовательных организаций безбарьерной среды и специального оснащения учебно-воспитательного процесса для детей с ограниченными возможностями здоровья.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 целом, анализ состояния муниципальной системы общего образования позволяет отметить позитивную динамику как количественных, так и качественных изменений.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Результативность работы подтверждают и проводимые социологические опросы родительской общественности. Так, по итогам 2021 года: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- 99% респондентов удовлетворены качеством дошкольного образования;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- 98% - удовлетворены качеством общего образования.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В рамках реализации </w:t>
      </w:r>
      <w:hyperlink r:id="rId50">
        <w:r>
          <w:rPr>
            <w:color w:val="0000FF"/>
          </w:rPr>
          <w:t>Указа</w:t>
        </w:r>
      </w:hyperlink>
      <w:r>
        <w:t xml:space="preserve"> Президента Российской Федерации от 28.04.2008 N 607 "Об оценке эффективности деятельности органов местного самоуправления городских и муниципальных районов", </w:t>
      </w:r>
      <w:hyperlink r:id="rId51">
        <w:r>
          <w:rPr>
            <w:color w:val="0000FF"/>
          </w:rPr>
          <w:t>Указа</w:t>
        </w:r>
      </w:hyperlink>
      <w:r>
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 осуществляется мониторинг для оценки динамики изменения показателей, характеризующих качество жизни, уровня социально-экономического развития муниципального образования, степени внедрения методов и принципов управления, обеспечивающих переход к более результативным моделям муниципального управления.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Результаты мониторинга позволяют определить зоны, требующие приоритетного внимания, сформировать перечень мероприятий по повышению результативности деятельности, а также выявить внутренние ресурсы для повышения качества и объема предоставляемых населению услуг. Факторный анализ значений целевых показателей мониторинга приведен в таблице 1.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center"/>
      </w:pPr>
      <w:r>
        <w:t>Факторный анализ значений целевых показателей достижения</w:t>
      </w:r>
    </w:p>
    <w:p w:rsidR="00B06D6B" w:rsidRDefault="00B06D6B">
      <w:pPr>
        <w:pStyle w:val="ConsPlusNormal"/>
        <w:jc w:val="center"/>
      </w:pPr>
      <w:r>
        <w:t>качества общего образования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right"/>
      </w:pPr>
      <w:r>
        <w:t>таблица 1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sectPr w:rsidR="00B06D6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81"/>
        <w:gridCol w:w="680"/>
        <w:gridCol w:w="737"/>
        <w:gridCol w:w="737"/>
        <w:gridCol w:w="737"/>
        <w:gridCol w:w="737"/>
        <w:gridCol w:w="737"/>
        <w:gridCol w:w="4139"/>
      </w:tblGrid>
      <w:tr w:rsidR="00B06D6B">
        <w:tc>
          <w:tcPr>
            <w:tcW w:w="510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81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80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85" w:type="dxa"/>
            <w:gridSpan w:val="5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4139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B06D6B">
        <w:tc>
          <w:tcPr>
            <w:tcW w:w="510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2381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680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37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37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4139" w:type="dxa"/>
            <w:vMerge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83,8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80,2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86,1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>На значение показателя влияет количество воспитанников, получающих дошкольную образовательную услугу и (или) услугу по их содержанию в муниципальных образовательных учреждениях в отчетном периоде.</w:t>
            </w:r>
          </w:p>
          <w:p w:rsidR="00B06D6B" w:rsidRDefault="00B06D6B">
            <w:pPr>
              <w:pStyle w:val="ConsPlusNormal"/>
            </w:pPr>
            <w:r>
              <w:t>Данный показатель имеет положительную динамику с 2018 года за счет:</w:t>
            </w:r>
          </w:p>
          <w:p w:rsidR="00B06D6B" w:rsidRDefault="00B06D6B">
            <w:pPr>
              <w:pStyle w:val="ConsPlusNormal"/>
            </w:pPr>
            <w:r>
              <w:t>- увеличения количества мест, введение детского сада в 15 мкр., на 550 мест;</w:t>
            </w:r>
          </w:p>
          <w:p w:rsidR="00B06D6B" w:rsidRDefault="00B06D6B">
            <w:pPr>
              <w:pStyle w:val="ConsPlusNormal"/>
            </w:pPr>
            <w:r>
              <w:t>- улучшения образовательной среды (интерактивное оборудование, современные МАФы, площадки, развивающие игровые комплексы);</w:t>
            </w:r>
          </w:p>
          <w:p w:rsidR="00B06D6B" w:rsidRDefault="00B06D6B">
            <w:pPr>
              <w:pStyle w:val="ConsPlusNormal"/>
            </w:pPr>
            <w:r>
              <w:t>- развития вариативных форм (полный день, группа кратковременного пребывания, консультативно-методический пункт).</w:t>
            </w:r>
          </w:p>
          <w:p w:rsidR="00B06D6B" w:rsidRDefault="00B06D6B">
            <w:pPr>
              <w:pStyle w:val="ConsPlusNormal"/>
            </w:pPr>
            <w:r>
              <w:t>В 2020 году данный показатель имеет отрицательную динамику в связи с введением режима повышенной готовности, сложная эпидемиологическая обстановка</w:t>
            </w: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>На значение показателя влияет количество детей в возрасте 1 - 6 лет, стоящих на учете для определения в муниципальные дошкольные образовательные учреждения.</w:t>
            </w:r>
          </w:p>
          <w:p w:rsidR="00B06D6B" w:rsidRDefault="00B06D6B">
            <w:pPr>
              <w:pStyle w:val="ConsPlusNormal"/>
            </w:pPr>
            <w:r>
              <w:t xml:space="preserve">Потребность определения в муниципальные дошкольные образовательные учреждения удовлетворена для данной категории детей - 100%, за счет свободных мест в дошкольных образовательных </w:t>
            </w:r>
            <w:r>
              <w:lastRenderedPageBreak/>
              <w:t>организациях и введения детского сада на 550 мест в 15 мкр., города.</w:t>
            </w: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>Удельный вес численности учащихся по программам общего образования, обучающихся в соответствии с федеральными государственными образовательными стандартами в общей численности учащихся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90,8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96,2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>На значение показателя влияет количество учащихся, обучающихся по программам общего образования в соответствии с федеральными государственными образовательными стандартами.</w:t>
            </w:r>
          </w:p>
          <w:p w:rsidR="00B06D6B" w:rsidRDefault="00B06D6B">
            <w:pPr>
              <w:pStyle w:val="ConsPlusNormal"/>
            </w:pPr>
            <w:r>
              <w:t>Увеличение показателя достигнуто путем планомерного перехода на обучение по федеральным государственным образовательным стандартам.</w:t>
            </w:r>
          </w:p>
          <w:p w:rsidR="00B06D6B" w:rsidRDefault="00B06D6B">
            <w:pPr>
              <w:pStyle w:val="ConsPlusNormal"/>
            </w:pPr>
            <w:r>
              <w:t>Данный показатель имеет положительную динамику с 2017 года.</w:t>
            </w: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>На данный показатель влияет количество выпускников муниципальных общеобразовательных организаций, не получивших аттестат о среднем общем образовании.</w:t>
            </w:r>
          </w:p>
          <w:p w:rsidR="00B06D6B" w:rsidRDefault="00B06D6B">
            <w:pPr>
              <w:pStyle w:val="ConsPlusNormal"/>
            </w:pPr>
            <w:r>
              <w:t>На улучшение показателя влияют следующие факторы:</w:t>
            </w:r>
          </w:p>
          <w:p w:rsidR="00B06D6B" w:rsidRDefault="00B06D6B">
            <w:pPr>
              <w:pStyle w:val="ConsPlusNormal"/>
            </w:pPr>
            <w:r>
              <w:t>- качество обучения (применение индивидуального обучения, деятельностных (проектных, исследовательских) образовательных технологий, мотивация учащихся).</w:t>
            </w:r>
          </w:p>
          <w:p w:rsidR="00B06D6B" w:rsidRDefault="00B06D6B">
            <w:pPr>
              <w:pStyle w:val="ConsPlusNormal"/>
            </w:pPr>
            <w:r>
              <w:t>Реализация комплекса мер, направленных на повышение качества образования, в том числе путем применения индивидуального подхода, новых форм и методов работы позволит снизить количество выпускников, не прошедших государственную итоговую аттестацию за уровень среднего общего образования.</w:t>
            </w: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 xml:space="preserve">Доля педагогических </w:t>
            </w:r>
            <w:r>
              <w:lastRenderedPageBreak/>
              <w:t>работников, повысивших квалификацию в текущем году в рамках курсов, семинаров от общей потребности в повышении квалификации.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 xml:space="preserve">На данный показатель влияет количество </w:t>
            </w:r>
            <w:r>
              <w:lastRenderedPageBreak/>
              <w:t>педагогических работников, которым требуется повышение квалификационной категории и количество педагогических работников повысивших квалификационную категорию.</w:t>
            </w:r>
          </w:p>
          <w:p w:rsidR="00B06D6B" w:rsidRDefault="00B06D6B">
            <w:pPr>
              <w:pStyle w:val="ConsPlusNormal"/>
            </w:pPr>
            <w:r>
              <w:t>Сохранение достигнутого показателя возможно путем применения форматов непрерывного образования.</w:t>
            </w:r>
          </w:p>
        </w:tc>
      </w:tr>
      <w:tr w:rsidR="00B06D6B">
        <w:tc>
          <w:tcPr>
            <w:tcW w:w="510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</w:pPr>
            <w: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680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91,51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91,76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93,38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93,57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93,93</w:t>
            </w:r>
          </w:p>
        </w:tc>
        <w:tc>
          <w:tcPr>
            <w:tcW w:w="4139" w:type="dxa"/>
          </w:tcPr>
          <w:p w:rsidR="00B06D6B" w:rsidRDefault="00B06D6B">
            <w:pPr>
              <w:pStyle w:val="ConsPlusNormal"/>
            </w:pPr>
            <w:r>
              <w:t>На данный показатель влияет число образовательных организаций соответствующих современным требованиям обучения.</w:t>
            </w:r>
          </w:p>
          <w:p w:rsidR="00B06D6B" w:rsidRDefault="00B06D6B">
            <w:pPr>
              <w:pStyle w:val="ConsPlusNormal"/>
            </w:pPr>
            <w:r>
              <w:t>Реализация комплекса мер, направленных на развитие инфраструктуры образовательных организаций позволит увеличить данный показатель за счет:</w:t>
            </w:r>
          </w:p>
          <w:p w:rsidR="00B06D6B" w:rsidRDefault="00B06D6B">
            <w:pPr>
              <w:pStyle w:val="ConsPlusNormal"/>
            </w:pPr>
            <w:r>
              <w:t>- увеличения числа учреждений, соответствующих требованиям Пожарного надзора;</w:t>
            </w:r>
          </w:p>
          <w:p w:rsidR="00B06D6B" w:rsidRDefault="00B06D6B">
            <w:pPr>
              <w:pStyle w:val="ConsPlusNormal"/>
            </w:pPr>
            <w:r>
              <w:t>- увеличения числа учреждений, в которых созданы условия для беспрепятственного доступа инвалидов (пандусы, подъемники, входные группы).</w:t>
            </w:r>
          </w:p>
          <w:p w:rsidR="00B06D6B" w:rsidRDefault="00B06D6B">
            <w:pPr>
              <w:pStyle w:val="ConsPlusNormal"/>
            </w:pPr>
            <w:r>
              <w:t>Данный показатель имеет положительную динамику в связи с приведением в нормативное состояние входных групп образовательных организаций.</w:t>
            </w:r>
          </w:p>
        </w:tc>
      </w:tr>
    </w:tbl>
    <w:p w:rsidR="00B06D6B" w:rsidRDefault="00B06D6B">
      <w:pPr>
        <w:pStyle w:val="ConsPlusNormal"/>
        <w:sectPr w:rsidR="00B06D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Таким образом, на основе факторного анализа выявлена следующая проблематика: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1. Недостаточность условий для обеспечения качества услуг дошкольного образования: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отмечается локальная потребность в обеспечении детей местами в детских садах в отдельных микрорайонах города;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увеличение численности детей, нуждающихся в психолого-педагогической коррекции нарушений развития и здоровья;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недостаточный уровень владения педагогами эффективными формами и методами работы с детьми с особенностями развития.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2. Недостаточный уровень качества образовательных результатов требованиям федеральных государственных образовательных стандартов и современного общества: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недостаточный уровень реализации индивидуального обучения, деятельностных (проектных, исследовательских) образовательных технологий в соответствии с федеральными государственными образовательными стандартами;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неполное использование имеющихся материально-технических, научно-методических, кадровых ресурсов в рамках межведомственного взаимодействия и сотрудничества с учреждениями профессионального образования;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недостаточная преемственность в формировании ценностных ориентаций у учащихся и воспитанников в урочной и внеурочной деятельности;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незаинтересованность несовершеннолетних в планировании своей профессиональной и общественной деятельности.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3. Отставание качественного изменения форм и методов преподавания, применения эффективных управленческих технологий, в том числе в работе с детьми с особыми образовательными потребностями.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4. Недостаточный уровень организации психолого-педагогического сопровождения детей-инвалидов и детей с ограниченными возможностями здоровья.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5. Недостаточные темпы модернизации и совершенствования материально-технической базы образовательных организаций, наличие локальной потребности в образовательных организациях в строящихся микрорайонах: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отставание темпов строительства новых образовательных организаций от темпов застройки города;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низкие темпы проведения капитальных ремонтов и реконструкции зданий, возведенных по старым проектам, не соответствующим современным запросам системы образования;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- отсутствие в значительной части образовательных организаций безбарьерной среды и специального оснащения учебно-воспитательного процесса для детей с ограниченными возможностями здоровья.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Наличие существующих проблем затрудняет создание условий для обеспечения доступности и повышения качества общего образования.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2. Цели и задачи Программы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sectPr w:rsidR="00B06D6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"/>
        <w:gridCol w:w="3118"/>
        <w:gridCol w:w="3345"/>
        <w:gridCol w:w="3912"/>
        <w:gridCol w:w="2527"/>
      </w:tblGrid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5</w:t>
            </w:r>
          </w:p>
        </w:tc>
      </w:tr>
      <w:tr w:rsidR="00B06D6B">
        <w:tc>
          <w:tcPr>
            <w:tcW w:w="13372" w:type="dxa"/>
            <w:gridSpan w:val="5"/>
          </w:tcPr>
          <w:p w:rsidR="00B06D6B" w:rsidRDefault="00B06D6B">
            <w:pPr>
              <w:pStyle w:val="ConsPlusNormal"/>
              <w:jc w:val="center"/>
            </w:pPr>
            <w:r>
              <w:t>Цель: 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</w:pPr>
            <w:r>
              <w:t>Обеспечить реализацию прав граждан на получение общедоступного и качественного дошкольного образования в соответствии с федеральным государственным образовательным стандартом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</w:pPr>
            <w:r>
              <w:t>Недостаточность условий для обеспечения доступности и качества услуг дошкольного образования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</w:pPr>
            <w:r>
              <w:t>Обеспечение равных возможностей получения доступного качественного дошкольного образования.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ДО, МАУ "Центр ОДО "Образование"</w:t>
            </w:r>
          </w:p>
          <w:p w:rsidR="00B06D6B" w:rsidRDefault="00B06D6B">
            <w:pPr>
              <w:pStyle w:val="ConsPlusNormal"/>
              <w:jc w:val="center"/>
            </w:pPr>
            <w:r>
              <w:t>г. Тобольска", образовательные организации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</w:pPr>
            <w:r>
              <w:t>Обеспечить реализацию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</w:pPr>
            <w:r>
              <w:t>Недостаточный уровень качества образовательных результатов требованиям федеральных государственных образовательных стандартов и современного общества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</w:pPr>
            <w:r>
              <w:t>Обеспечение прав граждан на получение общедоступного и качественного образования.</w:t>
            </w:r>
          </w:p>
          <w:p w:rsidR="00B06D6B" w:rsidRDefault="00B06D6B">
            <w:pPr>
              <w:pStyle w:val="ConsPlusNormal"/>
            </w:pPr>
            <w:r>
              <w:t>Развитие вариативных форм предоставления образования, в том числе использование дистанционных форм и траекторий индивидуального обучения.</w:t>
            </w:r>
          </w:p>
          <w:p w:rsidR="00B06D6B" w:rsidRDefault="00B06D6B">
            <w:pPr>
              <w:pStyle w:val="ConsPlusNormal"/>
            </w:pPr>
            <w:r>
              <w:t>Снижение количества негативных социальных явлений среди обучающихся.</w:t>
            </w:r>
          </w:p>
          <w:p w:rsidR="00B06D6B" w:rsidRDefault="00B06D6B">
            <w:pPr>
              <w:pStyle w:val="ConsPlusNormal"/>
            </w:pPr>
            <w:r>
              <w:t>Формирование ответственного (позитивного) родительства, объединение усилий образовательных учреждений, семьи и общества в создании открытой, развивающей, комфортной, образовательной среды.</w:t>
            </w:r>
          </w:p>
          <w:p w:rsidR="00B06D6B" w:rsidRDefault="00B06D6B">
            <w:pPr>
              <w:pStyle w:val="ConsPlusNormal"/>
            </w:pPr>
            <w:r>
              <w:t>Развитие одаренности обучающихся.</w:t>
            </w:r>
          </w:p>
          <w:p w:rsidR="00B06D6B" w:rsidRDefault="00B06D6B">
            <w:pPr>
              <w:pStyle w:val="ConsPlusNormal"/>
            </w:pPr>
            <w:r>
              <w:t>Реализация сетевых образовательных программ.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ДО, МАУ "Центр ОДО "Образование"</w:t>
            </w:r>
          </w:p>
          <w:p w:rsidR="00B06D6B" w:rsidRDefault="00B06D6B">
            <w:pPr>
              <w:pStyle w:val="ConsPlusNormal"/>
              <w:jc w:val="center"/>
            </w:pPr>
            <w:r>
              <w:t>г. Тобольска", образовательные организации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</w:pPr>
            <w:r>
              <w:t xml:space="preserve">Обеспечить развитие кадрового потенциала, </w:t>
            </w:r>
            <w:r>
              <w:lastRenderedPageBreak/>
              <w:t>устойчивый рост профессионализма педагогического коллектива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</w:pPr>
            <w:r>
              <w:lastRenderedPageBreak/>
              <w:t xml:space="preserve">Отставание качественного изменения форм и методов </w:t>
            </w:r>
            <w:r>
              <w:lastRenderedPageBreak/>
              <w:t>преподавания, применения эффективных управленческих технологий, в том числе в работе с детьми с особыми образовательными потребностями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</w:pPr>
            <w:r>
              <w:lastRenderedPageBreak/>
              <w:t xml:space="preserve">Повышение профессиональной компетентности педагогических и </w:t>
            </w:r>
            <w:r>
              <w:lastRenderedPageBreak/>
              <w:t>руководящих работников сферы образования на основе отработанных и внедряемых в практику ключевых аспектов "регионального стандарта" организации образовательной среды, применения педагогических технологий и реализации эффективных управленческих механизмов.</w:t>
            </w:r>
          </w:p>
          <w:p w:rsidR="00B06D6B" w:rsidRDefault="00B06D6B">
            <w:pPr>
              <w:pStyle w:val="ConsPlusNormal"/>
            </w:pPr>
            <w:r>
              <w:t>Развитие системы наставничества, поддержка молодых учителей.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ДО, МАУ "Центр ОДО "Образование"</w:t>
            </w:r>
          </w:p>
          <w:p w:rsidR="00B06D6B" w:rsidRDefault="00B06D6B">
            <w:pPr>
              <w:pStyle w:val="ConsPlusNormal"/>
              <w:jc w:val="center"/>
            </w:pPr>
            <w:r>
              <w:lastRenderedPageBreak/>
              <w:t>г. Тобольска", образовательные организации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</w:pPr>
            <w:r>
              <w:t>Повысить уровень реализации социальных функций муниципальной системы общего образования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</w:pPr>
            <w:r>
              <w:t>Недостаточный уровень развития социальных функций, в том числе в организации психолого-педагогического сопровождения детей-инвалидов и детей с ограниченными возможностями здоровья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</w:pPr>
            <w:r>
              <w:t>Обеспечение позитивной социализации и учебной успешности каждого обучающегося.</w:t>
            </w:r>
          </w:p>
          <w:p w:rsidR="00B06D6B" w:rsidRDefault="00B06D6B">
            <w:pPr>
              <w:pStyle w:val="ConsPlusNormal"/>
            </w:pPr>
            <w:r>
              <w:t>Обеспечение горячим питанием учащихся.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ДО, МАУ "Центр ОДО "Образование"</w:t>
            </w:r>
          </w:p>
          <w:p w:rsidR="00B06D6B" w:rsidRDefault="00B06D6B">
            <w:pPr>
              <w:pStyle w:val="ConsPlusNormal"/>
              <w:jc w:val="center"/>
            </w:pPr>
            <w:r>
              <w:t>г. Тобольска", образовательные организации</w:t>
            </w:r>
          </w:p>
        </w:tc>
      </w:tr>
      <w:tr w:rsidR="00B06D6B">
        <w:tc>
          <w:tcPr>
            <w:tcW w:w="470" w:type="dxa"/>
          </w:tcPr>
          <w:p w:rsidR="00B06D6B" w:rsidRDefault="00B06D6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18" w:type="dxa"/>
          </w:tcPr>
          <w:p w:rsidR="00B06D6B" w:rsidRDefault="00B06D6B">
            <w:pPr>
              <w:pStyle w:val="ConsPlusNormal"/>
            </w:pPr>
            <w:r>
              <w:t>Обеспечить развитие современной инфраструктуры образовательных организаций</w:t>
            </w:r>
          </w:p>
        </w:tc>
        <w:tc>
          <w:tcPr>
            <w:tcW w:w="3345" w:type="dxa"/>
          </w:tcPr>
          <w:p w:rsidR="00B06D6B" w:rsidRDefault="00B06D6B">
            <w:pPr>
              <w:pStyle w:val="ConsPlusNormal"/>
            </w:pPr>
            <w:r>
              <w:t>Недостаточные темпы модернизации и совершенствования материально-технической базы образовательных организаций, наличие локальной потребности в образовательных организациях в строящихся микрорайонах</w:t>
            </w:r>
          </w:p>
        </w:tc>
        <w:tc>
          <w:tcPr>
            <w:tcW w:w="3912" w:type="dxa"/>
          </w:tcPr>
          <w:p w:rsidR="00B06D6B" w:rsidRDefault="00B06D6B">
            <w:pPr>
              <w:pStyle w:val="ConsPlusNormal"/>
            </w:pPr>
            <w:r>
              <w:t>Модернизация материальной и информационной инфраструктуры образования, позволяющей обеспечить необходимые условия обучения в соответствии с современными требованиями во всех образовательных организациях.</w:t>
            </w:r>
          </w:p>
        </w:tc>
        <w:tc>
          <w:tcPr>
            <w:tcW w:w="2527" w:type="dxa"/>
          </w:tcPr>
          <w:p w:rsidR="00B06D6B" w:rsidRDefault="00B06D6B">
            <w:pPr>
              <w:pStyle w:val="ConsPlusNormal"/>
              <w:jc w:val="center"/>
            </w:pPr>
            <w:r>
              <w:t>ДО, ДГС, ДИО, МАУ "Центр ОДО "Образование"</w:t>
            </w:r>
          </w:p>
          <w:p w:rsidR="00B06D6B" w:rsidRDefault="00B06D6B">
            <w:pPr>
              <w:pStyle w:val="ConsPlusNormal"/>
              <w:jc w:val="center"/>
            </w:pPr>
            <w:r>
              <w:t>г. Тобольска", образовательные организации</w:t>
            </w:r>
          </w:p>
        </w:tc>
      </w:tr>
    </w:tbl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ДО - Департамент по образованию Администрации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ДИО - Департамент имущественных отношений Администрации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МАУ "Центр ОДО "Образование" г. Тобольска" - Муниципальное автономное учреждение "Центр обеспечения деятельности отрасли "Образование" г. Тобольска".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3. Показатели результативности реализации муниципальной</w:t>
      </w:r>
    </w:p>
    <w:p w:rsidR="00B06D6B" w:rsidRDefault="00B06D6B">
      <w:pPr>
        <w:pStyle w:val="ConsPlusTitle"/>
        <w:jc w:val="center"/>
      </w:pPr>
      <w:r>
        <w:t>программы</w:t>
      </w:r>
    </w:p>
    <w:p w:rsidR="00B06D6B" w:rsidRDefault="00B06D6B">
      <w:pPr>
        <w:pStyle w:val="ConsPlusNormal"/>
        <w:jc w:val="center"/>
      </w:pPr>
      <w:r>
        <w:t xml:space="preserve">(в ред. </w:t>
      </w:r>
      <w:hyperlink r:id="rId5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06D6B" w:rsidRDefault="00B06D6B">
      <w:pPr>
        <w:pStyle w:val="ConsPlusNormal"/>
        <w:jc w:val="center"/>
      </w:pPr>
      <w:r>
        <w:lastRenderedPageBreak/>
        <w:t>от 28.03.2022 N 9-рк)</w:t>
      </w:r>
    </w:p>
    <w:p w:rsidR="00B06D6B" w:rsidRDefault="00B06D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721"/>
        <w:gridCol w:w="566"/>
        <w:gridCol w:w="3572"/>
        <w:gridCol w:w="964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06D6B">
        <w:tc>
          <w:tcPr>
            <w:tcW w:w="566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66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72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964" w:type="dxa"/>
            <w:vMerge w:val="restart"/>
          </w:tcPr>
          <w:p w:rsidR="00B06D6B" w:rsidRDefault="00B06D6B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5"/>
          </w:tcPr>
          <w:p w:rsidR="00B06D6B" w:rsidRDefault="00B06D6B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2211" w:type="dxa"/>
            <w:gridSpan w:val="3"/>
          </w:tcPr>
          <w:p w:rsidR="00B06D6B" w:rsidRDefault="00B06D6B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B06D6B">
        <w:tc>
          <w:tcPr>
            <w:tcW w:w="566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2721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566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572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96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2024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13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Цель: 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  <w:outlineLvl w:val="2"/>
            </w:pPr>
            <w:r>
              <w:t>Задача 1. Обеспечить реализацию прав граждан на получение общедоступного и качественного дошкольного образования в соответствии с федеральными государственными образовательными стандартами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 xml:space="preserve">Расчет показателя осуществляется в соответствии с </w:t>
            </w:r>
            <w:hyperlink r:id="rId54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28.04.2008 N 607 "Об оценке эффективности деятельности органов местного самоуправления городских округов и муниципальных районов". Ежегодный мониторинг показателя осуществляет ДО.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83,8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80,2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86,8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 xml:space="preserve">Расчет показателя осуществляется в соответствии с </w:t>
            </w:r>
            <w:hyperlink r:id="rId56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28.04.2008 N 607 "Об оценке эффективности деятельности органов местного самоуправления городских округов и муниципальных районов". Ежегодный мониторинг показателя осуществляет ДО.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  <w:outlineLvl w:val="2"/>
            </w:pPr>
            <w:r>
              <w:t xml:space="preserve">Задача 2. Обеспечить реализацию прав граждан на получение общедоступного и качественного начального общего, основного общего, среднего </w:t>
            </w:r>
            <w:r>
              <w:lastRenderedPageBreak/>
              <w:t>общего образования в соответствии с федеральными государственными требованиями и образовательными стандартами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 xml:space="preserve">Расчет показателя осуществляется в соответствии с </w:t>
            </w:r>
            <w:hyperlink r:id="rId57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28.04.2008 N 607 "Об оценке эффективности деятельности органов местного самоуправления городских округов и муниципальных районов". Ежегодный мониторинг показателя осуществляет ДО.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0,8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победителей (призеров) олимпиад и конкурсов муниципального, областного, всероссийского и международного уровней в общей численности участников олимпиад и конкурсов муниципального, областного, всероссийского и международного уровней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>А - Доля победителей (призеров) олимпиад и конкурсов муниципального, областного, всероссийского и международного уровней к общей численности участников олимпиад и конкурсов муниципального, областного, всероссийского и международного уровней</w:t>
            </w:r>
          </w:p>
          <w:p w:rsidR="00B06D6B" w:rsidRDefault="00B06D6B">
            <w:pPr>
              <w:pStyle w:val="ConsPlusNormal"/>
            </w:pPr>
            <w:r>
              <w:t>В - Численность победителей (призеров) олимпиад и конкурсов муниципального, областного, всероссийского и международного уровней к общей численности участников олимпиад и конкурсов муниципального, областного, всероссийского и международного уровней, чел.</w:t>
            </w:r>
          </w:p>
          <w:p w:rsidR="00B06D6B" w:rsidRDefault="00B06D6B">
            <w:pPr>
              <w:pStyle w:val="ConsPlusNormal"/>
            </w:pPr>
            <w:r>
              <w:t>С - Общая численность участников олимпиад и конкурсов муниципального, областного, всероссийского и международного уровней,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19,3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21,8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учащихся по программам общего образования, принимающих участие в олимпиадах и конкурсах различного уровня к общей численности учащихся по программам начального общего, основного общего, среднего общего образования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>А - Доля учащихся по программам общего образования, принимающих участие в олимпиадах и конкурсах различного уровня к общей численности учащихся</w:t>
            </w:r>
          </w:p>
          <w:p w:rsidR="00B06D6B" w:rsidRDefault="00B06D6B">
            <w:pPr>
              <w:pStyle w:val="ConsPlusNormal"/>
            </w:pPr>
            <w:r>
              <w:t>В - Численность учащихся по программам общего образования, принимающих участие в олимпиадах и конкурсах различного уровня, чел.</w:t>
            </w:r>
          </w:p>
          <w:p w:rsidR="00B06D6B" w:rsidRDefault="00B06D6B">
            <w:pPr>
              <w:pStyle w:val="ConsPlusNormal"/>
            </w:pPr>
            <w:r>
              <w:t>С - Общая численность учащихся по программам начального общего, основного общего, среднего общего образования,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8" w:type="dxa"/>
            <w:gridSpan w:val="4"/>
          </w:tcPr>
          <w:p w:rsidR="00B06D6B" w:rsidRDefault="00B06D6B">
            <w:pPr>
              <w:pStyle w:val="ConsPlusNormal"/>
              <w:jc w:val="center"/>
            </w:pPr>
            <w:r>
              <w:t>Мониторинг осуществляется с 01.01.2021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81,6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81,7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81,8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  <w:outlineLvl w:val="2"/>
            </w:pPr>
            <w:r>
              <w:t>Задача 3. Обеспечить развитие кадрового потенциала, устойчивый рост профессионализма педагогического коллектива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педагогических работников, повысивших квалификацию в текущем году в рамках курсов, семинаров от общей потребности в повышении квалификации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>А - Доля педагогических работников, повысивших квалификацию в текущем году в рамках курсов, семинаров</w:t>
            </w:r>
          </w:p>
          <w:p w:rsidR="00B06D6B" w:rsidRDefault="00B06D6B">
            <w:pPr>
              <w:pStyle w:val="ConsPlusNormal"/>
            </w:pPr>
            <w:r>
              <w:t>В - Численность педагогических работников, повысивших квалификацию в текущем году в рамках курсов, семинаров, чел.</w:t>
            </w:r>
          </w:p>
          <w:p w:rsidR="00B06D6B" w:rsidRDefault="00B06D6B">
            <w:pPr>
              <w:pStyle w:val="ConsPlusNormal"/>
            </w:pPr>
            <w:r>
              <w:t>С - Общая численность педагогических работников, имеющих потребность в повышении квалификации,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педагогических работников в возрасте до 35 лет в общей численности педагогических работников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 xml:space="preserve">А - Доля педагогических работников в возрасте до 35 лет в общей численности педагогических </w:t>
            </w:r>
            <w:r>
              <w:lastRenderedPageBreak/>
              <w:t>работников</w:t>
            </w:r>
          </w:p>
          <w:p w:rsidR="00B06D6B" w:rsidRDefault="00B06D6B">
            <w:pPr>
              <w:pStyle w:val="ConsPlusNormal"/>
            </w:pPr>
            <w:r>
              <w:t>В - Численность педагогических работников в возрасте до 35 лет, чел.</w:t>
            </w:r>
          </w:p>
          <w:p w:rsidR="00B06D6B" w:rsidRDefault="00B06D6B">
            <w:pPr>
              <w:pStyle w:val="ConsPlusNormal"/>
            </w:pPr>
            <w:r>
              <w:t>С - Общая численность педагогических работников,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8" w:type="dxa"/>
            <w:gridSpan w:val="4"/>
          </w:tcPr>
          <w:p w:rsidR="00B06D6B" w:rsidRDefault="00B06D6B">
            <w:pPr>
              <w:pStyle w:val="ConsPlusNormal"/>
              <w:jc w:val="center"/>
            </w:pPr>
            <w:r>
              <w:t>Мониторинг осуществляется с 01.01.2021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30,9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31,3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31,4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  <w:outlineLvl w:val="2"/>
            </w:pPr>
            <w:r>
              <w:lastRenderedPageBreak/>
              <w:t>Задача 4. Повысить уровень реализации социальных функций муниципальной системы общего образования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детей, обеспеченных социальной поддержкой семей, имеющих детей, в отношении компенсации родительской платы 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 в общей численности детей.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>А - Доля детей, обеспеченных социальной поддержкой семей, имеющих детей, в отношении компенсации родительской платы 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  <w:p w:rsidR="00B06D6B" w:rsidRDefault="00B06D6B">
            <w:pPr>
              <w:pStyle w:val="ConsPlusNormal"/>
            </w:pPr>
            <w:r>
              <w:t>В - Количество детей, обеспеченных социальной поддержкой семей, имеющих детей, в отношении компенсации родительской платы 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образования, чел.</w:t>
            </w:r>
          </w:p>
          <w:p w:rsidR="00B06D6B" w:rsidRDefault="00B06D6B">
            <w:pPr>
              <w:pStyle w:val="ConsPlusNormal"/>
            </w:pPr>
            <w:r>
              <w:t>С - Общая численность детей,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 xml:space="preserve">Доля детей с ограниченными возможностями здоровья и детей-инвалидов, которым созданы условия для получения начального </w:t>
            </w:r>
            <w:r>
              <w:lastRenderedPageBreak/>
              <w:t>общего, основного общего, среднего общего образования, в общей численности детей с ограниченными возможностями здоровья и детей-инвалидов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 xml:space="preserve">А - Доля детей с ограниченными возможностями здоровья и детей-инвалидов, которым созданы условия для получения начального </w:t>
            </w:r>
            <w:r>
              <w:lastRenderedPageBreak/>
              <w:t>общего, основного общего, среднего общего образования</w:t>
            </w:r>
          </w:p>
          <w:p w:rsidR="00B06D6B" w:rsidRDefault="00B06D6B">
            <w:pPr>
              <w:pStyle w:val="ConsPlusNormal"/>
            </w:pPr>
            <w:r>
              <w:t>В - Количество детей с ограниченными возможностями здоровья и детей-инвалидов, которым созданы условия для получения начального общего, основного общего, среднего общего образования, чел.</w:t>
            </w:r>
          </w:p>
          <w:p w:rsidR="00B06D6B" w:rsidRDefault="00B06D6B">
            <w:pPr>
              <w:pStyle w:val="ConsPlusNormal"/>
            </w:pPr>
            <w:r>
              <w:t>С - Общая численность детей с ограниченными возможностями здоровья и детей-инвалидов,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</w:pPr>
            <w:r>
              <w:t>Доля обучающихся по программам начального общего образования, охваченных горячим питанием, в общей численности обучающихся по программам начального общего образования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>А= В / С * 100</w:t>
            </w:r>
          </w:p>
          <w:p w:rsidR="00B06D6B" w:rsidRDefault="00B06D6B">
            <w:pPr>
              <w:pStyle w:val="ConsPlusNormal"/>
            </w:pPr>
          </w:p>
          <w:p w:rsidR="00B06D6B" w:rsidRDefault="00B06D6B">
            <w:pPr>
              <w:pStyle w:val="ConsPlusNormal"/>
            </w:pPr>
            <w:r>
              <w:t>А - Доля обучающихся по программам начального общего образования, охваченных горячим питанием, от общей численности обучающихся по программам начального общего образования</w:t>
            </w:r>
          </w:p>
          <w:p w:rsidR="00B06D6B" w:rsidRDefault="00B06D6B">
            <w:pPr>
              <w:pStyle w:val="ConsPlusNormal"/>
            </w:pPr>
            <w:r>
              <w:t>В - Количество обучающихся по программам начального общего образования, охваченных горячим питанием, от общей численности обучающихся по программам начального общего образования, чел.</w:t>
            </w:r>
          </w:p>
          <w:p w:rsidR="00B06D6B" w:rsidRDefault="00B06D6B">
            <w:pPr>
              <w:pStyle w:val="ConsPlusNormal"/>
            </w:pPr>
            <w:r>
              <w:t>С - Общая численность обучающихся по программам начального общего образования, чел.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100</w:t>
            </w:r>
          </w:p>
        </w:tc>
      </w:tr>
      <w:tr w:rsidR="00B06D6B">
        <w:tc>
          <w:tcPr>
            <w:tcW w:w="14285" w:type="dxa"/>
            <w:gridSpan w:val="13"/>
          </w:tcPr>
          <w:p w:rsidR="00B06D6B" w:rsidRDefault="00B06D6B">
            <w:pPr>
              <w:pStyle w:val="ConsPlusNormal"/>
              <w:jc w:val="center"/>
              <w:outlineLvl w:val="2"/>
            </w:pPr>
            <w:r>
              <w:t>Задача 5. Обеспечить развитие современной инфраструктуры образовательных организаций</w:t>
            </w:r>
          </w:p>
        </w:tc>
      </w:tr>
      <w:tr w:rsidR="00B06D6B"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2721" w:type="dxa"/>
          </w:tcPr>
          <w:p w:rsidR="00B06D6B" w:rsidRDefault="00B06D6B">
            <w:pPr>
              <w:pStyle w:val="ConsPlusNormal"/>
              <w:jc w:val="both"/>
            </w:pPr>
            <w:r>
              <w:t xml:space="preserve">Доля муниципальных общеобразовательных организаций, соответствующих </w:t>
            </w:r>
            <w:r>
              <w:lastRenderedPageBreak/>
              <w:t>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566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572" w:type="dxa"/>
          </w:tcPr>
          <w:p w:rsidR="00B06D6B" w:rsidRDefault="00B06D6B">
            <w:pPr>
              <w:pStyle w:val="ConsPlusNormal"/>
            </w:pPr>
            <w:r>
              <w:t xml:space="preserve">Расчет показателя производится в соответствии с Инструкцией по подготовке доклада главы местной Администрации городского округа </w:t>
            </w:r>
            <w:r>
              <w:lastRenderedPageBreak/>
              <w:t>(муниципального района) субъекта Российской Федерации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3-летний период, разработанной Министерством регионального развития РФ в 2014 году и рекомендованной для использования Министерством экономического развития РФ.</w:t>
            </w:r>
          </w:p>
          <w:p w:rsidR="00B06D6B" w:rsidRDefault="00B06D6B">
            <w:pPr>
              <w:pStyle w:val="ConsPlusNormal"/>
              <w:jc w:val="both"/>
            </w:pPr>
            <w:r>
              <w:t>Ежегодный мониторинг показателя осуществляет ДО.</w:t>
            </w:r>
          </w:p>
        </w:tc>
        <w:tc>
          <w:tcPr>
            <w:tcW w:w="964" w:type="dxa"/>
          </w:tcPr>
          <w:p w:rsidR="00B06D6B" w:rsidRDefault="00B06D6B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91,51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91,76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93,38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93,57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93,93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94,1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94,2</w:t>
            </w:r>
          </w:p>
        </w:tc>
        <w:tc>
          <w:tcPr>
            <w:tcW w:w="737" w:type="dxa"/>
          </w:tcPr>
          <w:p w:rsidR="00B06D6B" w:rsidRDefault="00B06D6B">
            <w:pPr>
              <w:pStyle w:val="ConsPlusNormal"/>
              <w:jc w:val="center"/>
            </w:pPr>
            <w:r>
              <w:t>94,3</w:t>
            </w:r>
          </w:p>
        </w:tc>
      </w:tr>
    </w:tbl>
    <w:p w:rsidR="00B06D6B" w:rsidRDefault="00B06D6B">
      <w:pPr>
        <w:pStyle w:val="ConsPlusNormal"/>
        <w:sectPr w:rsidR="00B06D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ДО - Департамент по образованию Администрации города Тобольска.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B06D6B" w:rsidRDefault="00B06D6B">
      <w:pPr>
        <w:pStyle w:val="ConsPlusTitle"/>
        <w:jc w:val="center"/>
      </w:pPr>
      <w:r>
        <w:t>результативности реализации Программы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1.1. "Доля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Значение показателя в плановом периоде планируется увеличить до 86,8%. Планируется развитие вариативных форм предоставления дошкольного образования: посещение детьми дошкольных образовательных организаций в режиме интегрированного пребывания (до 3 часов), получение услуг в форме консультативно-методического пункта (в соответствии с </w:t>
      </w:r>
      <w:hyperlink r:id="rId59">
        <w:r>
          <w:rPr>
            <w:color w:val="0000FF"/>
          </w:rPr>
          <w:t>Указом</w:t>
        </w:r>
      </w:hyperlink>
      <w:r>
        <w:t xml:space="preserve"> Президента Российской Федерации от 28.04.2008 N 607).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1.2. "Доля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Значение показателя в плановом периоде планируется на уровне 100% (отсутствие стоящих на учете для определения в муниципальные дошкольные образовательные учреждения и необеспеченных местами (в соответствии с </w:t>
      </w:r>
      <w:hyperlink r:id="rId60">
        <w:r>
          <w:rPr>
            <w:color w:val="0000FF"/>
          </w:rPr>
          <w:t>Указом</w:t>
        </w:r>
      </w:hyperlink>
      <w:r>
        <w:t xml:space="preserve"> Президента Российской Федерации от 28.04.2008 N 607).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2.1. "Доля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Значение показателя в плановом периоде довести до уровня 0,8% (в соответствии с </w:t>
      </w:r>
      <w:hyperlink r:id="rId61">
        <w:r>
          <w:rPr>
            <w:color w:val="0000FF"/>
          </w:rPr>
          <w:t>Указом</w:t>
        </w:r>
      </w:hyperlink>
      <w:r>
        <w:t xml:space="preserve"> Президента Российской Федерации от 28.04.2008 N 607).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2.2. "Доля победителей (призеров) олимпиад и конкурсов муниципального, областного, всероссийского и международного уровней в общей численности участников олимпиад и конкурсов муниципального, областного, всероссийского и международного уровней".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Проведение мероприятий по поддержке одаренных детей, подготовка к участию в олимпиадах разного уровня, в рамках развития сетевого взаимодействия, повлияет на увеличение значения показателя к концу 2024 года до 21,8% (в соответствии с Государственной </w:t>
      </w:r>
      <w:hyperlink r:id="rId62">
        <w:r>
          <w:rPr>
            <w:color w:val="0000FF"/>
          </w:rPr>
          <w:t>программой</w:t>
        </w:r>
      </w:hyperlink>
      <w:r>
        <w:t xml:space="preserve"> Тюменской области "Развитие образования и науки" до 2025).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2.3. "Доля учащихся по программам общего образования, принимающих участие в олимпиадах и конкурсах различного уровня к общей численности учащихся по программам начального общего, основного общего, среднего общего образования".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Мониторинг данного показателя осуществляется с 01.01.2021 Базовое значение показателя 81,5%, планируется увеличение до 81,8%.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3.1. "Доля педагогических работников, повысивших квалификацию в текущем году в рамках курсов, семинаров от общей потребности в повышении квалификации".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Проведение мероприятий по организации непрерывного повышения квалификации педагогических работников позволит сохранить значение показателя в плановом периоде на уровне 100% (в соответствии с Государственной </w:t>
      </w:r>
      <w:hyperlink r:id="rId63">
        <w:r>
          <w:rPr>
            <w:color w:val="0000FF"/>
          </w:rPr>
          <w:t>программой</w:t>
        </w:r>
      </w:hyperlink>
      <w:r>
        <w:t xml:space="preserve"> Тюменской области "Развитие образования и науки" до 2025).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3.2. "Доля педагогических работников в возрасте до 35 лет в общей численности педагогических работников".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Мониторинг данного показателя осуществляется с 01.01.2021 Базовое значение показателя 30,4%, планируется увеличение до 30,8%. Достижение данного показателя планируется в рамках реализации проекта "Наставничество".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4.1. "Доля детей, обеспеченных социальной поддержкой семей, имеющих детей, в отношении компенсации родительской платы за присмотр и уход за детьми в муниципальных организациях, осуществляющих образовательную деятельность по реализации образовательных программ </w:t>
      </w:r>
      <w:r>
        <w:lastRenderedPageBreak/>
        <w:t>дошкольного образования в общей численности детей".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Проведение мероприятий по компенсации родительской платы за присмотр и уход позволит сохранить значение показателя в плановом периоде на уровне 100% (в соответствии с Государственной </w:t>
      </w:r>
      <w:hyperlink r:id="rId64">
        <w:r>
          <w:rPr>
            <w:color w:val="0000FF"/>
          </w:rPr>
          <w:t>программой</w:t>
        </w:r>
      </w:hyperlink>
      <w:r>
        <w:t xml:space="preserve"> Тюменской области "Развитие образования и науки" до 2025).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4.2. "Доля детей с ограниченными возможностями здоровья и детей-инвалидов, которым созданы условия для получения начального общего, основного общего, среднего общего образования, в общей численности детей с ограниченными возможностями здоровья и детей-инвалидов в г. Тобольске, которым ТПМПК, рекомендовано обучение по адаптированным основным образовательным программам".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Проведение мероприятий по созданию условий для получения детьми с ограниченными возможностями здоровья и детьми-инвалидами начального общего, основного общего, среднего общего образования с учетом индивидуальных особенностей развития позволит сохранить значение показателя в плановом периоде на уровне 100% (в соответствии с Государственной </w:t>
      </w:r>
      <w:hyperlink r:id="rId65">
        <w:r>
          <w:rPr>
            <w:color w:val="0000FF"/>
          </w:rPr>
          <w:t>программой</w:t>
        </w:r>
      </w:hyperlink>
      <w:r>
        <w:t xml:space="preserve"> Тюменской области "Развитие образования и науки" до 2025).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4.3. "Доля обучающихся по программам начального общего образования, охваченных горячим питанием, в общей численности обучающихся по программам начального общего образования".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 xml:space="preserve">Проведение мероприятий по организации разнообразного и полноценного горячего питания детей в соответствии позволит достичь значения показателя в плановом периоде на уровне 100% (в соответствии с Государственной </w:t>
      </w:r>
      <w:hyperlink r:id="rId66">
        <w:r>
          <w:rPr>
            <w:color w:val="0000FF"/>
          </w:rPr>
          <w:t>программой</w:t>
        </w:r>
      </w:hyperlink>
      <w:r>
        <w:t xml:space="preserve"> Тюменской области "Развитие образования и науки" до 2025).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5.1. "Доля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организаций".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Проведение мероприятий по развитию инфраструктуры образовательных организаций позволит увеличить значение показателя до 94,3% (в соответствии с "Перечнем современных условий для расчета показателя" утвержденным Минобрнауки от 30.11.2012).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B06D6B" w:rsidRDefault="00B06D6B">
      <w:pPr>
        <w:pStyle w:val="ConsPlusTitle"/>
        <w:jc w:val="center"/>
      </w:pPr>
      <w:r>
        <w:t>источники финансирования</w:t>
      </w:r>
    </w:p>
    <w:p w:rsidR="00B06D6B" w:rsidRDefault="00B06D6B">
      <w:pPr>
        <w:pStyle w:val="ConsPlusNormal"/>
        <w:jc w:val="center"/>
      </w:pPr>
      <w:r>
        <w:t xml:space="preserve">(в ред. </w:t>
      </w:r>
      <w:hyperlink r:id="rId67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06D6B" w:rsidRDefault="00B06D6B">
      <w:pPr>
        <w:pStyle w:val="ConsPlusNormal"/>
        <w:jc w:val="center"/>
      </w:pPr>
      <w:r>
        <w:t>от 31.10.2022 N 88-рк)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Всего на реализацию Программы потребуется 14 613 121,29 тыс. рублей, в том числе по годам: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sectPr w:rsidR="00B06D6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7"/>
        <w:gridCol w:w="2381"/>
        <w:gridCol w:w="1814"/>
        <w:gridCol w:w="1984"/>
        <w:gridCol w:w="1676"/>
        <w:gridCol w:w="1986"/>
      </w:tblGrid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Период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области, тыс. рублей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Тобольска, тыс. рублей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Итого бюджетное финансирование,</w:t>
            </w:r>
          </w:p>
          <w:p w:rsidR="00B06D6B" w:rsidRDefault="00B06D6B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источники, тыс. рублей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Всего объем</w:t>
            </w:r>
          </w:p>
          <w:p w:rsidR="00B06D6B" w:rsidRDefault="00B06D6B">
            <w:pPr>
              <w:pStyle w:val="ConsPlusNormal"/>
              <w:jc w:val="center"/>
            </w:pPr>
            <w:r>
              <w:t>финансирования,</w:t>
            </w:r>
          </w:p>
          <w:p w:rsidR="00B06D6B" w:rsidRDefault="00B06D6B">
            <w:pPr>
              <w:pStyle w:val="ConsPlusNormal"/>
              <w:jc w:val="center"/>
            </w:pPr>
            <w:r>
              <w:t>тыс. рублей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1 648 369,00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1 089 084,00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2 737 453,00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10 798,00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2 748 251,00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1 878 076,16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950 903,30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2 828 979,46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12 822,00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2 841 801,46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1 859 331,61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1 461 284,81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3 320 616,42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3 320 616,42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1 774 059,94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1 144 967,24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2 919 027,18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2 919 027,18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1 794 674,23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988 751,00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2 783 425,23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2 783 425,23</w:t>
            </w:r>
          </w:p>
        </w:tc>
      </w:tr>
      <w:tr w:rsidR="00B06D6B">
        <w:tc>
          <w:tcPr>
            <w:tcW w:w="987" w:type="dxa"/>
          </w:tcPr>
          <w:p w:rsidR="00B06D6B" w:rsidRDefault="00B06D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81" w:type="dxa"/>
          </w:tcPr>
          <w:p w:rsidR="00B06D6B" w:rsidRDefault="00B06D6B">
            <w:pPr>
              <w:pStyle w:val="ConsPlusNormal"/>
              <w:jc w:val="center"/>
            </w:pPr>
            <w:r>
              <w:t>8 954 510,94</w:t>
            </w:r>
          </w:p>
        </w:tc>
        <w:tc>
          <w:tcPr>
            <w:tcW w:w="1814" w:type="dxa"/>
          </w:tcPr>
          <w:p w:rsidR="00B06D6B" w:rsidRDefault="00B06D6B">
            <w:pPr>
              <w:pStyle w:val="ConsPlusNormal"/>
              <w:jc w:val="center"/>
            </w:pPr>
            <w:r>
              <w:t>5 634 990,35</w:t>
            </w:r>
          </w:p>
        </w:tc>
        <w:tc>
          <w:tcPr>
            <w:tcW w:w="1984" w:type="dxa"/>
          </w:tcPr>
          <w:p w:rsidR="00B06D6B" w:rsidRDefault="00B06D6B">
            <w:pPr>
              <w:pStyle w:val="ConsPlusNormal"/>
              <w:jc w:val="center"/>
            </w:pPr>
            <w:r>
              <w:t>14 589 501,29</w:t>
            </w:r>
          </w:p>
        </w:tc>
        <w:tc>
          <w:tcPr>
            <w:tcW w:w="1676" w:type="dxa"/>
          </w:tcPr>
          <w:p w:rsidR="00B06D6B" w:rsidRDefault="00B06D6B">
            <w:pPr>
              <w:pStyle w:val="ConsPlusNormal"/>
              <w:jc w:val="center"/>
            </w:pPr>
            <w:r>
              <w:t>23 620,00</w:t>
            </w:r>
          </w:p>
        </w:tc>
        <w:tc>
          <w:tcPr>
            <w:tcW w:w="1986" w:type="dxa"/>
          </w:tcPr>
          <w:p w:rsidR="00B06D6B" w:rsidRDefault="00B06D6B">
            <w:pPr>
              <w:pStyle w:val="ConsPlusNormal"/>
              <w:jc w:val="center"/>
            </w:pPr>
            <w:r>
              <w:t>14 613 121,29</w:t>
            </w:r>
          </w:p>
        </w:tc>
      </w:tr>
    </w:tbl>
    <w:p w:rsidR="00B06D6B" w:rsidRDefault="00B06D6B">
      <w:pPr>
        <w:pStyle w:val="ConsPlusNormal"/>
        <w:sectPr w:rsidR="00B06D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B06D6B" w:rsidRDefault="00B06D6B">
      <w:pPr>
        <w:pStyle w:val="ConsPlusTitle"/>
        <w:jc w:val="center"/>
      </w:pPr>
      <w:r>
        <w:t>муниципальной программы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5.1. Департамент по образованию Администрации города Тобольска: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а) Департамент имущественных отношений Администрации города Тобольска в части обеспечения жильем педагогических работников;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б) Департамент городской среды в части развития инфраструктуры образовательных организаций, в том числе обеспечение организации и технического надзора за проведением строительных и ремонтных работ капитального характера, реконструкции зданий;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в) МАУ "Центр ОДО "Образование" г. Тобольска" в части предоставления муниципальных услуг и работ по организационно-методическому сопровождению деятельности образовательных организаций;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г) Образовательные организации в части реализации прав граждан на получение общедоступного и качественного дошкольного, начального общего, основного общего, среднего общего образования.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д) Муниципальное автономное учреждение "Центр содействия семейному воспитанию "Дом для детей" в части предоставления муниципальных услуг по содержанию и воспитанию детей-сирот и детей, оставшихся без попечения родителей, детей, находящихся в трудной жизненной ситуации, содействию устройству детей на воспитание в семью.</w:t>
      </w:r>
    </w:p>
    <w:p w:rsidR="00B06D6B" w:rsidRDefault="00B06D6B">
      <w:pPr>
        <w:pStyle w:val="ConsPlusNormal"/>
        <w:jc w:val="both"/>
      </w:pPr>
      <w:r>
        <w:t xml:space="preserve">(пп. "д" в ред. </w:t>
      </w:r>
      <w:hyperlink r:id="rId6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28.03.2022 N 9-рк)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5.3. К реализации Программы могут привлекаться сторонние организации в порядке, установленном действующим законодательством.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B06D6B" w:rsidRDefault="00B06D6B">
      <w:pPr>
        <w:pStyle w:val="ConsPlusNormal"/>
        <w:jc w:val="center"/>
      </w:pPr>
      <w:r>
        <w:t xml:space="preserve">(в ред. </w:t>
      </w:r>
      <w:hyperlink r:id="rId6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06D6B" w:rsidRDefault="00B06D6B">
      <w:pPr>
        <w:pStyle w:val="ConsPlusNormal"/>
        <w:jc w:val="center"/>
      </w:pPr>
      <w:r>
        <w:t>от 31.10.2022 N 88-рк)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sectPr w:rsidR="00B06D6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209"/>
        <w:gridCol w:w="2041"/>
        <w:gridCol w:w="1444"/>
        <w:gridCol w:w="1714"/>
        <w:gridCol w:w="1474"/>
        <w:gridCol w:w="1474"/>
        <w:gridCol w:w="1264"/>
        <w:gridCol w:w="1264"/>
        <w:gridCol w:w="1264"/>
        <w:gridCol w:w="1264"/>
        <w:gridCol w:w="1264"/>
        <w:gridCol w:w="2438"/>
      </w:tblGrid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Разработчик/</w:t>
            </w:r>
          </w:p>
          <w:p w:rsidR="00B06D6B" w:rsidRDefault="00B06D6B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171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Уровень бюджета</w:t>
            </w:r>
          </w:p>
        </w:tc>
        <w:tc>
          <w:tcPr>
            <w:tcW w:w="2948" w:type="dxa"/>
            <w:gridSpan w:val="2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6320" w:type="dxa"/>
            <w:gridSpan w:val="5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2438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Региональная программа</w:t>
            </w:r>
          </w:p>
          <w:p w:rsidR="00B06D6B" w:rsidRDefault="00B06D6B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2438" w:type="dxa"/>
            <w:vMerge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12</w:t>
            </w:r>
          </w:p>
        </w:tc>
      </w:tr>
      <w:tr w:rsidR="00B06D6B">
        <w:tc>
          <w:tcPr>
            <w:tcW w:w="9810" w:type="dxa"/>
            <w:gridSpan w:val="7"/>
          </w:tcPr>
          <w:p w:rsidR="00B06D6B" w:rsidRDefault="00B06D6B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2748251,00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2841801,46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3320616,42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2919027,18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2783425,23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9810" w:type="dxa"/>
            <w:gridSpan w:val="7"/>
          </w:tcPr>
          <w:p w:rsidR="00B06D6B" w:rsidRDefault="00B06D6B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1089084,00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950903,30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1461284,81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1144967,24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988751,00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9810" w:type="dxa"/>
            <w:gridSpan w:val="7"/>
          </w:tcPr>
          <w:p w:rsidR="00B06D6B" w:rsidRDefault="00B06D6B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1648369,00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1878076,16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1859331,61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1774059,94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1794674,23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9810" w:type="dxa"/>
            <w:gridSpan w:val="7"/>
          </w:tcPr>
          <w:p w:rsidR="00B06D6B" w:rsidRDefault="00B06D6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10798,00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12822,00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9810" w:type="dxa"/>
            <w:gridSpan w:val="7"/>
          </w:tcPr>
          <w:p w:rsidR="00B06D6B" w:rsidRDefault="00B06D6B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14709,00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16055,64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16107,80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15850,00</w:t>
            </w:r>
          </w:p>
        </w:tc>
        <w:tc>
          <w:tcPr>
            <w:tcW w:w="1264" w:type="dxa"/>
          </w:tcPr>
          <w:p w:rsidR="00B06D6B" w:rsidRDefault="00B06D6B">
            <w:pPr>
              <w:pStyle w:val="ConsPlusNormal"/>
              <w:jc w:val="center"/>
            </w:pPr>
            <w:r>
              <w:t>15850,00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18568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Цель: 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B06D6B">
        <w:tc>
          <w:tcPr>
            <w:tcW w:w="18568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Задача 1. Обеспечить реализацию прав граждан на получение общедоступного и качественного дошкольного образования в соответствии с федеральным государственным образовательным стандартом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государственные гарантии реализации прав на получение общедоступного бесплатного дошкольного образования в муниципальных образовательных организациях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502874,00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517272,00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472891,00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473614,00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474236,00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финансовое обеспечение получения дошкольного образования в частных образовательных организациях в форме предоставления субсидий юридическим лицам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7374,00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6963,00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6894,00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6904,00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6914,00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 xml:space="preserve">Обеспечивать организацию предоставления общедоступного и бесплатного дошкольного </w:t>
            </w:r>
            <w:r>
              <w:lastRenderedPageBreak/>
              <w:t>образования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II кв. 2022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5952,76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 xml:space="preserve">Государственная программа "Развитие образования и науки </w:t>
            </w:r>
            <w:r>
              <w:lastRenderedPageBreak/>
              <w:t>Тюменской области"</w:t>
            </w: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146802,00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155545,52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164559,00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168692,76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172901,00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2021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450,00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18568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Задача 2. Обеспечить реализацию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государственные гарантии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937310,00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980586,00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1005786,00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1033975,00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1053313,00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форме предоставления субсидий юридическим лицам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18247,00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18990,00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21882,00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21993,00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22074,00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 xml:space="preserve">Обеспечивать поддержку </w:t>
            </w:r>
            <w:r>
              <w:lastRenderedPageBreak/>
              <w:t>одаренных детей и молодежи (выплаты стипендий Главы города Тобольска)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lastRenderedPageBreak/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 xml:space="preserve">средства </w:t>
            </w:r>
            <w:r>
              <w:lastRenderedPageBreak/>
              <w:t>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908,00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1314,00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1536,00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Осуществлять выплату ежемесячного денежного вознаграждения за классное руководство педагогическим работникам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III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2020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3879,00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III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11657,92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11931,60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III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17728,00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53723,12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55190,48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Merge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Реализовывать региональный проект "Информационная инфраструктура" в рамках национального проекта "Цифровая экономика" направленной на финансовое обеспечение расходов по обустройству систем видеонаблюдения, контроля доступом (СКУД), беспроводного доступа к локальной сети Интернет WI-FI, оптимизации энергопотребления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2022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25448,00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Обеспечивать организацию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II кв. 2022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2022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4328,00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7660,00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12284,00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252189,00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257090,08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266109,86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286028,00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294775,00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1663" w:type="dxa"/>
            <w:gridSpan w:val="2"/>
          </w:tcPr>
          <w:p w:rsidR="00B06D6B" w:rsidRDefault="00B06D6B">
            <w:pPr>
              <w:pStyle w:val="ConsPlusNormal"/>
            </w:pPr>
          </w:p>
        </w:tc>
        <w:tc>
          <w:tcPr>
            <w:tcW w:w="16905" w:type="dxa"/>
            <w:gridSpan w:val="11"/>
          </w:tcPr>
          <w:p w:rsidR="00B06D6B" w:rsidRDefault="00B06D6B">
            <w:pPr>
              <w:pStyle w:val="ConsPlusNormal"/>
              <w:jc w:val="center"/>
            </w:pPr>
            <w:r>
              <w:t>Задача 3. Обеспечить развитие кадрового потенциала, устойчивый рост профессионализма педагогического коллектива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Повышать квалификацию педагогических работников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18417,00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20515,00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19020,00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19543,00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20079,00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18568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Задача 4. Повысить уровень реализации социальных функций муниципальной системы общего образования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предоставление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ПМПК,</w:t>
            </w:r>
          </w:p>
          <w:p w:rsidR="00B06D6B" w:rsidRDefault="00B06D6B">
            <w:pPr>
              <w:pStyle w:val="ConsPlusNormal"/>
              <w:jc w:val="center"/>
            </w:pPr>
            <w:r>
              <w:t>МАУ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2904,00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2975,00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3001,00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3105,00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3186,00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Обеспечивать социальное обслуживание и социальную поддержку детей-сирот и детей, оставшихся без попечения родителей, находящихся в организациях для детей-сирот и детей, оставшихся без попечения родителей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ОО,</w:t>
            </w:r>
          </w:p>
          <w:p w:rsidR="00B06D6B" w:rsidRDefault="00B06D6B">
            <w:pPr>
              <w:pStyle w:val="ConsPlusNormal"/>
              <w:jc w:val="center"/>
            </w:pPr>
            <w:r>
              <w:t>Центр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283,00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88,00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47915,00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52618,00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57586,00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58293,00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59005,00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частичное возмещение расходов по созданию условий для осуществления присмотра и ухода за детьми, содержания детей в организациях, реализующих образовательную программу дошкольного образования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402323,00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406426,00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404603,00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416536,00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425215,00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4.4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частичное возмещение расходов по созданию условий для осуществления присмотра и ухода за детьми, содержания детей в частных организациях, реализующих образовательную программу дошкольного образования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1909,00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3434,35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4679,00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>Обеспечивать социальную поддержку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в форме предоставления субсидий на цели, не связанные с выполнением муниципального задания и субсидий юридическим лицам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42414,00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52305,00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78223,00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78223,00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78223,00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3250" w:type="dxa"/>
            <w:gridSpan w:val="2"/>
            <w:vAlign w:val="center"/>
          </w:tcPr>
          <w:p w:rsidR="00B06D6B" w:rsidRDefault="00B06D6B">
            <w:pPr>
              <w:pStyle w:val="ConsPlusNormal"/>
            </w:pPr>
            <w:r>
              <w:t xml:space="preserve">Обеспечивать дополнительное финансовое обеспечение мероприятий по организации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(за исключением образовательных программ дошкольного образования) в </w:t>
            </w:r>
            <w:r>
              <w:lastRenderedPageBreak/>
              <w:t>форме предоставления субсидий юридическим лицам</w:t>
            </w:r>
          </w:p>
        </w:tc>
        <w:tc>
          <w:tcPr>
            <w:tcW w:w="144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1416,00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1907,00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2319,00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2280,00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2231,00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области"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lastRenderedPageBreak/>
              <w:t>4.7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Организовать питание обучающихся в муниципальных образовательных организациях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68473,00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54491,18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58765,00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59413,00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59931,00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44739,00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94317,00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94880,14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95672,94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95492,23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18568" w:type="dxa"/>
            <w:gridSpan w:val="13"/>
          </w:tcPr>
          <w:p w:rsidR="00B06D6B" w:rsidRDefault="00B06D6B">
            <w:pPr>
              <w:pStyle w:val="ConsPlusNormal"/>
              <w:jc w:val="center"/>
            </w:pPr>
            <w:r>
              <w:t>Задача 5. Обеспечить развитие современной инфраструктуры образовательных организаций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Обеспечить приобретение оборудования, мебели, инвентаря, учебно-наглядных пособий и др.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2302,00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1137,18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80,26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119,80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B06D6B" w:rsidRDefault="00B06D6B">
            <w:pPr>
              <w:pStyle w:val="ConsPlusNormal"/>
            </w:pPr>
            <w:r>
              <w:t>Поддерживать в нормативном состоянии образовательные организации, обеспечивать безопасные условия образовательного процесса</w:t>
            </w:r>
          </w:p>
        </w:tc>
        <w:tc>
          <w:tcPr>
            <w:tcW w:w="1444" w:type="dxa"/>
            <w:vMerge w:val="restart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ДО,</w:t>
            </w:r>
          </w:p>
          <w:p w:rsidR="00B06D6B" w:rsidRDefault="00B06D6B">
            <w:pPr>
              <w:pStyle w:val="ConsPlusNormal"/>
              <w:jc w:val="center"/>
            </w:pPr>
            <w:r>
              <w:t>МАУ,</w:t>
            </w:r>
          </w:p>
          <w:p w:rsidR="00B06D6B" w:rsidRDefault="00B06D6B">
            <w:pPr>
              <w:pStyle w:val="ConsPlusNormal"/>
              <w:jc w:val="center"/>
            </w:pPr>
            <w:r>
              <w:t>ДГС,</w:t>
            </w:r>
          </w:p>
          <w:p w:rsidR="00B06D6B" w:rsidRDefault="00B06D6B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2855,00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Тюменской области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84681,86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38346,83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Государственная программа "Развитие образования и науки Тюменской области</w:t>
            </w:r>
          </w:p>
        </w:tc>
      </w:tr>
      <w:tr w:rsidR="00B06D6B">
        <w:tc>
          <w:tcPr>
            <w:tcW w:w="45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3250" w:type="dxa"/>
            <w:gridSpan w:val="2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444" w:type="dxa"/>
            <w:vMerge/>
          </w:tcPr>
          <w:p w:rsidR="00B06D6B" w:rsidRDefault="00B06D6B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средства бюджета города Тобольска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7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177173,00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34894,35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525905,15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178904,48</w:t>
            </w:r>
          </w:p>
        </w:tc>
        <w:tc>
          <w:tcPr>
            <w:tcW w:w="1264" w:type="dxa"/>
            <w:vAlign w:val="center"/>
          </w:tcPr>
          <w:p w:rsidR="00B06D6B" w:rsidRDefault="00B06D6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  <w:vAlign w:val="center"/>
          </w:tcPr>
          <w:p w:rsidR="00B06D6B" w:rsidRDefault="00B06D6B">
            <w:pPr>
              <w:pStyle w:val="ConsPlusNormal"/>
            </w:pPr>
          </w:p>
        </w:tc>
      </w:tr>
    </w:tbl>
    <w:p w:rsidR="00B06D6B" w:rsidRDefault="00B06D6B">
      <w:pPr>
        <w:pStyle w:val="ConsPlusNormal"/>
        <w:sectPr w:rsidR="00B06D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ind w:firstLine="540"/>
        <w:jc w:val="both"/>
      </w:pPr>
      <w:r>
        <w:t>Сокращения: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ДО - Департамент по образованию Администрации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ОО - Образовательные организации;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Центр - МАУ "Центр содействия семейному воспитанию "Дом для детей";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МАУ - Муниципальное автономное учреждение "Центр обеспечения деятельности отрасли "Образование" г. Тобольска";</w:t>
      </w:r>
    </w:p>
    <w:p w:rsidR="00B06D6B" w:rsidRDefault="00B06D6B">
      <w:pPr>
        <w:pStyle w:val="ConsPlusNormal"/>
        <w:spacing w:before="200"/>
        <w:ind w:firstLine="540"/>
        <w:jc w:val="both"/>
      </w:pPr>
      <w:r>
        <w:t>ПМПК - Территориальная психолого-медико-педагогическая комиссия (структурное подразделение Муниципальное автономное учреждение "Центр обеспечения деятельности отрасли "Образование" г. Тобольска").</w:t>
      </w: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jc w:val="both"/>
      </w:pPr>
    </w:p>
    <w:p w:rsidR="00B06D6B" w:rsidRDefault="00B06D6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D6B"/>
    <w:rsid w:val="006C6ABC"/>
    <w:rsid w:val="00956F17"/>
    <w:rsid w:val="00B0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C9716-3109-4543-B572-1374111A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D6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B06D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6D6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B06D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06D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B06D6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06D6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06D6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4819752D9E750A68FF75E10871B074F359C6D7FD106709A7FC59B1DE9A21317B3EF11642796A57CC227FF1C61i5rDD" TargetMode="External"/><Relationship Id="rId21" Type="http://schemas.openxmlformats.org/officeDocument/2006/relationships/hyperlink" Target="consultantplus://offline/ref=F4819752D9E750A68FF7401D91775940309E3B7AD10879CC22999D4AB6F21542E1AF4F3D65D6B67CC339FD1C66541391A103D0E144704726EA21B7E3iEr8D" TargetMode="External"/><Relationship Id="rId42" Type="http://schemas.openxmlformats.org/officeDocument/2006/relationships/hyperlink" Target="consultantplus://offline/ref=F4819752D9E750A68FF7401D91775940309E3B7AD1097DCF24969D4AB6F21542E1AF4F3D77D6EE70C23DE31D624145C0E7i5r4D" TargetMode="External"/><Relationship Id="rId47" Type="http://schemas.openxmlformats.org/officeDocument/2006/relationships/hyperlink" Target="consultantplus://offline/ref=F4819752D9E750A68FF7401D91775940309E3B7AD10978C521929D4AB6F21542E1AF4F3D77D6EE70C23DE31D624145C0E7i5r4D" TargetMode="External"/><Relationship Id="rId63" Type="http://schemas.openxmlformats.org/officeDocument/2006/relationships/hyperlink" Target="consultantplus://offline/ref=F4819752D9E750A68FF7401D91775940309E3B7AD1097DCF24969D4AB6F21542E1AF4F3D65D6B678C13AFB17370E0395E857D9FE416F5825F421iBr5D" TargetMode="External"/><Relationship Id="rId68" Type="http://schemas.openxmlformats.org/officeDocument/2006/relationships/hyperlink" Target="consultantplus://offline/ref=F4819752D9E750A68FF7401D91775940309E3B7AD10978CD24939D4AB6F21542E1AF4F3D65D6B67CC339FD1D63541391A103D0E144704726EA21B7E3iEr8D" TargetMode="External"/><Relationship Id="rId7" Type="http://schemas.openxmlformats.org/officeDocument/2006/relationships/hyperlink" Target="consultantplus://offline/ref=F4819752D9E750A68FF7401D91775940309E3B7AD1067BC421949D4AB6F21542E1AF4F3D65D6B67CC339FD1C66541391A103D0E144704726EA21B7E3iEr8D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819752D9E750A68FF7401D91775940309E3B7AD1077CCC21969D4AB6F21542E1AF4F3D65D6B67CC339FD1C66541391A103D0E144704726EA21B7E3iEr8D" TargetMode="External"/><Relationship Id="rId29" Type="http://schemas.openxmlformats.org/officeDocument/2006/relationships/hyperlink" Target="consultantplus://offline/ref=F4819752D9E750A68FF7401D91775940309E3B7AD1097ACF27989D4AB6F21542E1AF4F3D65D6B67CC338FE1566541391A103D0E144704726EA21B7E3iEr8D" TargetMode="External"/><Relationship Id="rId11" Type="http://schemas.openxmlformats.org/officeDocument/2006/relationships/hyperlink" Target="consultantplus://offline/ref=F4819752D9E750A68FF7401D91775940309E3B7AD10879CC22999D4AB6F21542E1AF4F3D65D6B67CC339FD1C66541391A103D0E144704726EA21B7E3iEr8D" TargetMode="External"/><Relationship Id="rId24" Type="http://schemas.openxmlformats.org/officeDocument/2006/relationships/hyperlink" Target="consultantplus://offline/ref=F4819752D9E750A68FF75E10871B074F32946477D709709A7FC59B1DE9A21317B3EF11642796A57CC227FF1C61i5rDD" TargetMode="External"/><Relationship Id="rId32" Type="http://schemas.openxmlformats.org/officeDocument/2006/relationships/hyperlink" Target="consultantplus://offline/ref=F4819752D9E750A68FF75E10871B074F35906D77D207709A7FC59B1DE9A21317B3EF11642796A57CC227FF1C61i5rDD" TargetMode="External"/><Relationship Id="rId37" Type="http://schemas.openxmlformats.org/officeDocument/2006/relationships/hyperlink" Target="consultantplus://offline/ref=F4819752D9E750A68FF75E10871B074F35926772D401709A7FC59B1DE9A21317B3EF11642796A57CC227FF1C61i5rDD" TargetMode="External"/><Relationship Id="rId40" Type="http://schemas.openxmlformats.org/officeDocument/2006/relationships/hyperlink" Target="consultantplus://offline/ref=F4819752D9E750A68FF75E10871B074F37926073D904709A7FC59B1DE9A21317B3EF11642796A57CC227FF1C61i5rDD" TargetMode="External"/><Relationship Id="rId45" Type="http://schemas.openxmlformats.org/officeDocument/2006/relationships/hyperlink" Target="consultantplus://offline/ref=F4819752D9E750A68FF7401D91775940309E3B7AD1087ACD22909D4AB6F21542E1AF4F3D77D6EE70C23DE31D624145C0E7i5r4D" TargetMode="External"/><Relationship Id="rId53" Type="http://schemas.openxmlformats.org/officeDocument/2006/relationships/image" Target="media/image1.wmf"/><Relationship Id="rId58" Type="http://schemas.openxmlformats.org/officeDocument/2006/relationships/image" Target="media/image3.wmf"/><Relationship Id="rId66" Type="http://schemas.openxmlformats.org/officeDocument/2006/relationships/hyperlink" Target="consultantplus://offline/ref=F4819752D9E750A68FF7401D91775940309E3B7AD1097DCF24969D4AB6F21542E1AF4F3D65D6B678C13AFB17370E0395E857D9FE416F5825F421iBr5D" TargetMode="External"/><Relationship Id="rId5" Type="http://schemas.openxmlformats.org/officeDocument/2006/relationships/hyperlink" Target="consultantplus://offline/ref=F4819752D9E750A68FF7401D91775940309E3B7AD10778C826989D4AB6F21542E1AF4F3D65D6B67CC339FD1C66541391A103D0E144704726EA21B7E3iEr8D" TargetMode="External"/><Relationship Id="rId61" Type="http://schemas.openxmlformats.org/officeDocument/2006/relationships/hyperlink" Target="consultantplus://offline/ref=F4819752D9E750A68FF75E10871B074F359D6275D509709A7FC59B1DE9A21317B3EF11642796A57CC227FF1C61i5rDD" TargetMode="External"/><Relationship Id="rId19" Type="http://schemas.openxmlformats.org/officeDocument/2006/relationships/hyperlink" Target="consultantplus://offline/ref=F4819752D9E750A68FF7401D91775940309E3B7AD10978CD24939D4AB6F21542E1AF4F3D65D6B67CC339FD1C66541391A103D0E144704726EA21B7E3iEr8D" TargetMode="External"/><Relationship Id="rId14" Type="http://schemas.openxmlformats.org/officeDocument/2006/relationships/hyperlink" Target="consultantplus://offline/ref=F4819752D9E750A68FF7401D91775940309E3B7AD1097ACF27989D4AB6F21542E1AF4F3D65D6B67CC338FE1864541391A103D0E144704726EA21B7E3iEr8D" TargetMode="External"/><Relationship Id="rId22" Type="http://schemas.openxmlformats.org/officeDocument/2006/relationships/hyperlink" Target="consultantplus://offline/ref=F4819752D9E750A68FF7401D91775940309E3B7AD10978CD24939D4AB6F21542E1AF4F3D65D6B67CC339FD1C65541391A103D0E144704726EA21B7E3iEr8D" TargetMode="External"/><Relationship Id="rId27" Type="http://schemas.openxmlformats.org/officeDocument/2006/relationships/hyperlink" Target="consultantplus://offline/ref=F4819752D9E750A68FF7401D91775940309E3B7AD1097BCA26909D4AB6F21542E1AF4F3D77D6EE70C23DE31D624145C0E7i5r4D" TargetMode="External"/><Relationship Id="rId30" Type="http://schemas.openxmlformats.org/officeDocument/2006/relationships/hyperlink" Target="consultantplus://offline/ref=F4819752D9E750A68FF75E10871B074F32976773D209709A7FC59B1DE9A21317A1EF49682692BA7BC732A94D270A4AC1E148DCE15E6C4625iFr6D" TargetMode="External"/><Relationship Id="rId35" Type="http://schemas.openxmlformats.org/officeDocument/2006/relationships/hyperlink" Target="consultantplus://offline/ref=F4819752D9E750A68FF75E10871B074F379C6073D400709A7FC59B1DE9A21317B3EF11642796A57CC227FF1C61i5rDD" TargetMode="External"/><Relationship Id="rId43" Type="http://schemas.openxmlformats.org/officeDocument/2006/relationships/hyperlink" Target="consultantplus://offline/ref=F4819752D9E750A68FF7401D91775940309E3B7AD10672C523989D4AB6F21542E1AF4F3D77D6EE70C23DE31D624145C0E7i5r4D" TargetMode="External"/><Relationship Id="rId48" Type="http://schemas.openxmlformats.org/officeDocument/2006/relationships/hyperlink" Target="consultantplus://offline/ref=F4819752D9E750A68FF7401D91775940309E3B7AD10879CC22999D4AB6F21542E1AF4F3D65D6B67CC339FD1C65541391A103D0E144704726EA21B7E3iEr8D" TargetMode="External"/><Relationship Id="rId56" Type="http://schemas.openxmlformats.org/officeDocument/2006/relationships/hyperlink" Target="consultantplus://offline/ref=F4819752D9E750A68FF75E10871B074F359D6275D509709A7FC59B1DE9A21317B3EF11642796A57CC227FF1C61i5rDD" TargetMode="External"/><Relationship Id="rId64" Type="http://schemas.openxmlformats.org/officeDocument/2006/relationships/hyperlink" Target="consultantplus://offline/ref=F4819752D9E750A68FF7401D91775940309E3B7AD1097DCF24969D4AB6F21542E1AF4F3D65D6B678C13AFB17370E0395E857D9FE416F5825F421iBr5D" TargetMode="External"/><Relationship Id="rId69" Type="http://schemas.openxmlformats.org/officeDocument/2006/relationships/hyperlink" Target="consultantplus://offline/ref=F4819752D9E750A68FF7401D91775940309E3B7AD10879CC22999D4AB6F21542E1AF4F3D65D6B67CC339FD1963541391A103D0E144704726EA21B7E3iEr8D" TargetMode="External"/><Relationship Id="rId8" Type="http://schemas.openxmlformats.org/officeDocument/2006/relationships/hyperlink" Target="consultantplus://offline/ref=F4819752D9E750A68FF7401D91775940309E3B7AD10673C923999D4AB6F21542E1AF4F3D65D6B67CC339FD1C66541391A103D0E144704726EA21B7E3iEr8D" TargetMode="External"/><Relationship Id="rId51" Type="http://schemas.openxmlformats.org/officeDocument/2006/relationships/hyperlink" Target="consultantplus://offline/ref=F4819752D9E750A68FF75E10871B074F35906D77D207709A7FC59B1DE9A21317B3EF11642796A57CC227FF1C61i5rD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4819752D9E750A68FF7401D91775940309E3B7AD10479C524959D4AB6F21542E1AF4F3D65D6B67CC339FC1C60541391A103D0E144704726EA21B7E3iEr8D" TargetMode="External"/><Relationship Id="rId17" Type="http://schemas.openxmlformats.org/officeDocument/2006/relationships/hyperlink" Target="consultantplus://offline/ref=F4819752D9E750A68FF7401D91775940309E3B7AD1067BC421949D4AB6F21542E1AF4F3D65D6B67CC339FD1C66541391A103D0E144704726EA21B7E3iEr8D" TargetMode="External"/><Relationship Id="rId25" Type="http://schemas.openxmlformats.org/officeDocument/2006/relationships/hyperlink" Target="consultantplus://offline/ref=F4819752D9E750A68FF75E10871B074F359D6275D509709A7FC59B1DE9A21317B3EF11642796A57CC227FF1C61i5rDD" TargetMode="External"/><Relationship Id="rId33" Type="http://schemas.openxmlformats.org/officeDocument/2006/relationships/hyperlink" Target="consultantplus://offline/ref=F4819752D9E750A68FF75E10871B074F32976271D506709A7FC59B1DE9A21317B3EF11642796A57CC227FF1C61i5rDD" TargetMode="External"/><Relationship Id="rId38" Type="http://schemas.openxmlformats.org/officeDocument/2006/relationships/hyperlink" Target="consultantplus://offline/ref=F4819752D9E750A68FF75E10871B074F32976372D407709A7FC59B1DE9A21317B3EF11642796A57CC227FF1C61i5rDD" TargetMode="External"/><Relationship Id="rId46" Type="http://schemas.openxmlformats.org/officeDocument/2006/relationships/hyperlink" Target="consultantplus://offline/ref=F4819752D9E750A68FF7401D91775940309E3B7AD10978C522989D4AB6F21542E1AF4F3D77D6EE70C23DE31D624145C0E7i5r4D" TargetMode="External"/><Relationship Id="rId59" Type="http://schemas.openxmlformats.org/officeDocument/2006/relationships/hyperlink" Target="consultantplus://offline/ref=F4819752D9E750A68FF75E10871B074F359D6275D509709A7FC59B1DE9A21317B3EF11642796A57CC227FF1C61i5rDD" TargetMode="External"/><Relationship Id="rId67" Type="http://schemas.openxmlformats.org/officeDocument/2006/relationships/hyperlink" Target="consultantplus://offline/ref=F4819752D9E750A68FF7401D91775940309E3B7AD10879CC22999D4AB6F21542E1AF4F3D65D6B67CC339FD186A541391A103D0E144704726EA21B7E3iEr8D" TargetMode="External"/><Relationship Id="rId20" Type="http://schemas.openxmlformats.org/officeDocument/2006/relationships/hyperlink" Target="consultantplus://offline/ref=F4819752D9E750A68FF7401D91775940309E3B7AD1097FC42A929D4AB6F21542E1AF4F3D65D6B67CC339FD1C66541391A103D0E144704726EA21B7E3iEr8D" TargetMode="External"/><Relationship Id="rId41" Type="http://schemas.openxmlformats.org/officeDocument/2006/relationships/hyperlink" Target="consultantplus://offline/ref=F4819752D9E750A68FF75E10871B074F37926074D107709A7FC59B1DE9A21317B3EF11642796A57CC227FF1C61i5rDD" TargetMode="External"/><Relationship Id="rId54" Type="http://schemas.openxmlformats.org/officeDocument/2006/relationships/hyperlink" Target="consultantplus://offline/ref=F4819752D9E750A68FF75E10871B074F359D6275D509709A7FC59B1DE9A21317B3EF11642796A57CC227FF1C61i5rDD" TargetMode="External"/><Relationship Id="rId62" Type="http://schemas.openxmlformats.org/officeDocument/2006/relationships/hyperlink" Target="consultantplus://offline/ref=F4819752D9E750A68FF7401D91775940309E3B7AD1097DCF24969D4AB6F21542E1AF4F3D65D6B678C13AFB17370E0395E857D9FE416F5825F421iBr5D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819752D9E750A68FF7401D91775940309E3B7AD1077CCC21969D4AB6F21542E1AF4F3D65D6B67CC339FD1C66541391A103D0E144704726EA21B7E3iEr8D" TargetMode="External"/><Relationship Id="rId15" Type="http://schemas.openxmlformats.org/officeDocument/2006/relationships/hyperlink" Target="consultantplus://offline/ref=F4819752D9E750A68FF7401D91775940309E3B7AD10778C826989D4AB6F21542E1AF4F3D65D6B67CC339FD1C66541391A103D0E144704726EA21B7E3iEr8D" TargetMode="External"/><Relationship Id="rId23" Type="http://schemas.openxmlformats.org/officeDocument/2006/relationships/hyperlink" Target="consultantplus://offline/ref=F4819752D9E750A68FF75E10871B074F32946476D306709A7FC59B1DE9A21317B3EF11642796A57CC227FF1C61i5rDD" TargetMode="External"/><Relationship Id="rId28" Type="http://schemas.openxmlformats.org/officeDocument/2006/relationships/hyperlink" Target="consultantplus://offline/ref=F4819752D9E750A68FF7401D91775940309E3B7AD1077CCC2A949D4AB6F21542E1AF4F3D77D6EE70C23DE31D624145C0E7i5r4D" TargetMode="External"/><Relationship Id="rId36" Type="http://schemas.openxmlformats.org/officeDocument/2006/relationships/hyperlink" Target="consultantplus://offline/ref=F4819752D9E750A68FF75E10871B074F35926772D306709A7FC59B1DE9A21317B3EF11642796A57CC227FF1C61i5rDD" TargetMode="External"/><Relationship Id="rId49" Type="http://schemas.openxmlformats.org/officeDocument/2006/relationships/hyperlink" Target="consultantplus://offline/ref=F4819752D9E750A68FF7401D91775940309E3B7AD10978CD24939D4AB6F21542E1AF4F3D65D6B67CC339FD1C64541391A103D0E144704726EA21B7E3iEr8D" TargetMode="External"/><Relationship Id="rId57" Type="http://schemas.openxmlformats.org/officeDocument/2006/relationships/hyperlink" Target="consultantplus://offline/ref=F4819752D9E750A68FF75E10871B074F359D6275D509709A7FC59B1DE9A21317B3EF11642796A57CC227FF1C61i5rDD" TargetMode="External"/><Relationship Id="rId10" Type="http://schemas.openxmlformats.org/officeDocument/2006/relationships/hyperlink" Target="consultantplus://offline/ref=F4819752D9E750A68FF7401D91775940309E3B7AD1097FC42A929D4AB6F21542E1AF4F3D65D6B67CC339FD1C66541391A103D0E144704726EA21B7E3iEr8D" TargetMode="External"/><Relationship Id="rId31" Type="http://schemas.openxmlformats.org/officeDocument/2006/relationships/hyperlink" Target="consultantplus://offline/ref=F4819752D9E750A68FF75E10871B074F32976777D404709A7FC59B1DE9A21317B3EF11642796A57CC227FF1C61i5rDD" TargetMode="External"/><Relationship Id="rId44" Type="http://schemas.openxmlformats.org/officeDocument/2006/relationships/hyperlink" Target="consultantplus://offline/ref=F4819752D9E750A68FF7401D91775940309E3B7AD1067CCA26999D4AB6F21542E1AF4F3D77D6EE70C23DE31D624145C0E7i5r4D" TargetMode="External"/><Relationship Id="rId52" Type="http://schemas.openxmlformats.org/officeDocument/2006/relationships/hyperlink" Target="consultantplus://offline/ref=F4819752D9E750A68FF7401D91775940309E3B7AD10978CD24939D4AB6F21542E1AF4F3D65D6B67CC339FD1C6B541391A103D0E144704726EA21B7E3iEr8D" TargetMode="External"/><Relationship Id="rId60" Type="http://schemas.openxmlformats.org/officeDocument/2006/relationships/hyperlink" Target="consultantplus://offline/ref=F4819752D9E750A68FF75E10871B074F359D6275D509709A7FC59B1DE9A21317B3EF11642796A57CC227FF1C61i5rDD" TargetMode="External"/><Relationship Id="rId65" Type="http://schemas.openxmlformats.org/officeDocument/2006/relationships/hyperlink" Target="consultantplus://offline/ref=F4819752D9E750A68FF7401D91775940309E3B7AD1097DCF24969D4AB6F21542E1AF4F3D65D6B678C13AFB17370E0395E857D9FE416F5825F421iBr5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4819752D9E750A68FF7401D91775940309E3B7AD10978CD24939D4AB6F21542E1AF4F3D65D6B67CC339FD1C66541391A103D0E144704726EA21B7E3iEr8D" TargetMode="External"/><Relationship Id="rId13" Type="http://schemas.openxmlformats.org/officeDocument/2006/relationships/hyperlink" Target="consultantplus://offline/ref=F4819752D9E750A68FF7401D91775940309E3B7AD1097ACF27989D4AB6F21542E1AF4F3D65D6B67CC339F81E62541391A103D0E144704726EA21B7E3iEr8D" TargetMode="External"/><Relationship Id="rId18" Type="http://schemas.openxmlformats.org/officeDocument/2006/relationships/hyperlink" Target="consultantplus://offline/ref=F4819752D9E750A68FF7401D91775940309E3B7AD10673C923999D4AB6F21542E1AF4F3D65D6B67CC339FD1C66541391A103D0E144704726EA21B7E3iEr8D" TargetMode="External"/><Relationship Id="rId39" Type="http://schemas.openxmlformats.org/officeDocument/2006/relationships/hyperlink" Target="consultantplus://offline/ref=F4819752D9E750A68FF75E10871B074F35946D76D703709A7FC59B1DE9A21317B3EF11642796A57CC227FF1C61i5rDD" TargetMode="External"/><Relationship Id="rId34" Type="http://schemas.openxmlformats.org/officeDocument/2006/relationships/hyperlink" Target="consultantplus://offline/ref=F4819752D9E750A68FF75E10871B074F379D6573D003709A7FC59B1DE9A21317B3EF11642796A57CC227FF1C61i5rDD" TargetMode="External"/><Relationship Id="rId50" Type="http://schemas.openxmlformats.org/officeDocument/2006/relationships/hyperlink" Target="consultantplus://offline/ref=F4819752D9E750A68FF75E10871B074F359D6275D509709A7FC59B1DE9A21317B3EF11642796A57CC227FF1C61i5rDD" TargetMode="External"/><Relationship Id="rId55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12876</Words>
  <Characters>73394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2022-11-14T03:43:00Z</dcterms:created>
  <dcterms:modified xsi:type="dcterms:W3CDTF">2022-11-14T03:43:00Z</dcterms:modified>
</cp:coreProperties>
</file>